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Advancing machine learning for protein structure prediction in drug discovery</w:t>
      </w:r>
    </w:p>
    <w:p>
      <w:pPr>
        <w:pStyle w:val="Heading1"/>
      </w:pPr>
      <w:r>
        <w:t>Specific Aims</w:t>
      </w:r>
    </w:p>
    <w:p>
      <w:r>
        <w:t>Aim 1: Advance machine learning for protein structure prediction in drug discovery via a materials-focused strategy.</w:t>
      </w:r>
    </w:p>
    <w:p>
      <w:r>
        <w:t>Aim 2: Advance machine learning for protein structure prediction in drug discovery via a materials-focused strategy.</w:t>
      </w:r>
    </w:p>
    <w:p>
      <w:pPr>
        <w:pStyle w:val="Heading1"/>
      </w:pPr>
      <w:r>
        <w:t>Background</w:t>
      </w:r>
    </w:p>
    <w:p>
      <w:r>
        <w:t>This proposal addresses machine learning for protein structure prediction in drug discovery, a problem with substantial significance. We will assemble a multidisciplinary team with complementary expertise. Rigorous, pre-registered analyses will guard against bias and support reproducibility. Prior work has established a partial understanding, yet key gaps remain.</w:t>
      </w:r>
    </w:p>
    <w:p>
      <w:pPr>
        <w:pStyle w:val="Heading1"/>
      </w:pPr>
      <w:r>
        <w:t>Approach</w:t>
      </w:r>
    </w:p>
    <w:p>
      <w:r>
        <w:t>We will use appropriate methods to achieve the aims.</w:t>
      </w:r>
    </w:p>
    <w:p>
      <w:pPr>
        <w:pStyle w:val="Heading1"/>
      </w:pPr>
      <w:r>
        <w:t>Innovation</w:t>
      </w:r>
    </w:p>
    <w:p>
      <w:r>
        <w:t>Prior work has established a partial understanding, yet key gaps remain.</w:t>
      </w:r>
    </w:p>
    <w:p>
      <w:pPr>
        <w:pStyle w:val="Heading1"/>
      </w:pPr>
      <w:r>
        <w:t>Investigator Context</w:t>
      </w:r>
    </w:p>
    <w:p>
      <w:r>
        <w:t>The PI has a sustained track record of funded work in this area. The R2 host institution offers focused departmental resources and regional research partnerships, backed by a growing institutional research base.</w:t>
      </w:r>
    </w:p>
    <w:p>
      <w:pPr>
        <w:pStyle w:val="Heading1"/>
      </w:pPr>
      <w:r>
        <w:t>Budget Justification</w:t>
      </w:r>
    </w:p>
    <w:p>
      <w:r>
        <w:t>Total requested support is $998,676 over 4 years at a R2 institution, covering personnel, materials, and dissemination.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https://doi.org/10.1109/TPAMI.2016.2577031</w:t>
      </w:r>
    </w:p>
    <w:p>
      <w:pPr>
        <w:pStyle w:val="ListNumber"/>
      </w:pPr>
      <w:r>
        <w:t>[2] https://doi.org/10.1001/jama.2016.9797</w:t>
      </w:r>
    </w:p>
    <w:p>
      <w:pPr>
        <w:pStyle w:val="ListNumber"/>
      </w:pPr>
      <w:r>
        <w:t>[3] https://doi.org/10.1101/gr.229102</w:t>
      </w:r>
    </w:p>
    <w:p>
      <w:pPr>
        <w:pStyle w:val="ListNumber"/>
      </w:pPr>
      <w:r>
        <w:t>[4] https://doi.org/10.1371/journal.pone.0173664</w:t>
      </w:r>
    </w:p>
    <w:p>
      <w:pPr>
        <w:pStyle w:val="ListNumber"/>
      </w:pPr>
      <w:r>
        <w:t>[5] https://doi.org/10.1038/nature14539</w:t>
      </w:r>
    </w:p>
    <w:p>
      <w:pPr>
        <w:pStyle w:val="ListNumber"/>
      </w:pPr>
      <w:r>
        <w:t>[6] https://doi.org/10.1101/gr.229102</w:t>
      </w:r>
    </w:p>
    <w:p>
      <w:pPr>
        <w:pStyle w:val="ListNumber"/>
      </w:pPr>
      <w:r>
        <w:t>[7] https://doi.org/10.1126/science.1259855</w:t>
      </w:r>
    </w:p>
    <w:p>
      <w:pPr>
        <w:pStyle w:val="ListNumber"/>
      </w:pPr>
      <w:r>
        <w:t>[8] https://doi.org/10.1001/jama.2016.9797</w:t>
      </w:r>
    </w:p>
    <w:p>
      <w:pPr>
        <w:pStyle w:val="ListNumber"/>
      </w:pPr>
      <w:r>
        <w:t>[9] https://doi.org/10.1038/nature14539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