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Measuring the labor-market effects of remote work policy</w:t>
      </w:r>
    </w:p>
    <w:p>
      <w:pPr>
        <w:pStyle w:val="Heading1"/>
      </w:pPr>
      <w:r>
        <w:t>Specific Aims</w:t>
      </w:r>
    </w:p>
    <w:p>
      <w:r>
        <w:t>Aim 1: Advance measuring the labor-market effects of remote work policy via a survey instrument-focused strategy.</w:t>
      </w:r>
    </w:p>
    <w:p>
      <w:r>
        <w:t>Aim 2: Advance measuring the labor-market effects of remote work policy via a survey instrument-focused strategy.</w:t>
      </w:r>
    </w:p>
    <w:p>
      <w:pPr>
        <w:pStyle w:val="Heading1"/>
      </w:pPr>
      <w:r>
        <w:t>Background</w:t>
      </w:r>
    </w:p>
    <w:p>
      <w:r>
        <w:t>We will assemble a multidisciplinary team with complementary expertise. Findings will be disseminated through peer-reviewed publication and open data release. Rigorous, pre-registered analyses will guard against bias and support reproducibility. Our preliminary data suggest a tractable path toward measurable improvement.</w:t>
      </w:r>
    </w:p>
    <w:p>
      <w:pPr>
        <w:pStyle w:val="Heading1"/>
      </w:pPr>
      <w:r>
        <w:t>Approach</w:t>
      </w:r>
    </w:p>
    <w:p>
      <w:r>
        <w:t>Prior work has established a partial understanding, yet key gaps remain. Our preliminary data suggest a tractable path toward measurable improvement. Rigorous, pre-registered analyses will guard against bias and support reproducibility. The approach integrates established survey instrument methods with a novel analytical pipeline.</w:t>
      </w:r>
    </w:p>
    <w:p>
      <w:pPr>
        <w:pStyle w:val="Heading1"/>
      </w:pPr>
      <w:r>
        <w:t>Innovation</w:t>
      </w:r>
    </w:p>
    <w:p>
      <w:r>
        <w:t>This work will definitively cure the condition within the funding period. The results will immediately transform practice nationwide upon completion.</w:t>
      </w:r>
    </w:p>
    <w:p>
      <w:pPr>
        <w:pStyle w:val="Heading1"/>
      </w:pPr>
      <w:r>
        <w:t>Investigator Context</w:t>
      </w:r>
    </w:p>
    <w:p>
      <w:r>
        <w:t>Two co-equal PIs contribute complementary methods under joint leadership. The R2 host institution offers focused departmental resources and regional research partnerships, backed by a growing institutional research base.</w:t>
      </w:r>
    </w:p>
    <w:p>
      <w:pPr>
        <w:pStyle w:val="Heading1"/>
      </w:pPr>
      <w:r>
        <w:t>Budget Justification</w:t>
      </w:r>
    </w:p>
    <w:p>
      <w:r>
        <w:t>Total requested support is $381,568 over 2 years at a R2 institution, covering personnel, materials, and dissemination.</w:t>
      </w:r>
    </w:p>
    <w:p>
      <w:pPr>
        <w:pStyle w:val="Heading1"/>
      </w:pPr>
      <w:r>
        <w:t>References</w:t>
      </w:r>
    </w:p>
    <w:p>
      <w:pPr>
        <w:pStyle w:val="ListNumber"/>
      </w:pPr>
      <w:r>
        <w:t>[1] https://doi.org/10.1145/3292500.3330701</w:t>
      </w:r>
    </w:p>
    <w:p>
      <w:pPr>
        <w:pStyle w:val="ListNumber"/>
      </w:pPr>
      <w:r>
        <w:t>[2] https://doi.org/10.1145/3292500.3330701</w:t>
      </w:r>
    </w:p>
    <w:p>
      <w:pPr>
        <w:pStyle w:val="ListNumber"/>
      </w:pPr>
      <w:r>
        <w:t>[3] https://doi.org/10.1371/journal.pone.0173664</w:t>
      </w:r>
    </w:p>
    <w:p>
      <w:pPr>
        <w:pStyle w:val="ListNumber"/>
      </w:pPr>
      <w:r>
        <w:t>[4] https://doi.org/10.1002/anie.201907688</w:t>
      </w:r>
    </w:p>
    <w:p>
      <w:pPr>
        <w:pStyle w:val="ListNumber"/>
      </w:pPr>
      <w:r>
        <w:t>[5] https://doi.org/10.1056/NEJMoa2034577</w:t>
      </w:r>
    </w:p>
    <w:p>
      <w:pPr>
        <w:pStyle w:val="ListNumber"/>
      </w:pPr>
      <w:r>
        <w:t>[6] https://doi.org/10.1145/3292500.3330701</w:t>
      </w:r>
    </w:p>
    <w:p>
      <w:pPr>
        <w:pStyle w:val="ListNumber"/>
      </w:pPr>
      <w:r>
        <w:t>[7] https://doi.org/10.1145/3292500.3330701</w:t>
      </w:r>
    </w:p>
    <w:p>
      <w:pPr>
        <w:pStyle w:val="ListNumber"/>
      </w:pPr>
      <w:r>
        <w:t>[8] https://doi.org/10.1056/NEJMoa2034577</w:t>
      </w:r>
    </w:p>
    <w:p>
      <w:pPr>
        <w:pStyle w:val="ListNumber"/>
      </w:pPr>
      <w:r>
        <w:t>[9] https://doi.org/10.1073/pnas.1517384113</w:t>
      </w:r>
    </w:p>
    <w:p>
      <w:pPr>
        <w:pStyle w:val="ListNumber"/>
      </w:pPr>
      <w:r>
        <w:t>[10] https://doi.org/10.1002/anie.201907688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