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Wearable sensors for continuous glucose monitoring in rural clinics: Findings and Recommendations</w:t>
      </w:r>
    </w:p>
    <w:p>
      <w:pPr>
        <w:pStyle w:val="Heading1"/>
      </w:pPr>
      <w:r>
        <w:t>Executive Summary</w:t>
      </w:r>
    </w:p>
    <w:p>
      <w:r>
        <w:t>The discussion draws on established throughput methods and current data. Careful framing guards against overstatement.</w:t>
      </w:r>
    </w:p>
    <w:p>
      <w:pPr>
        <w:pStyle w:val="Heading1"/>
      </w:pPr>
      <w:r>
        <w:t>Background</w:t>
      </w:r>
    </w:p>
    <w:p>
      <w:r>
        <w:t>The discussion draws on established throughput methods and current data. The takeaways are meant to inform, not to prescribe. Recent analysis points toward a tractable path forward.</w:t>
      </w:r>
    </w:p>
    <w:p>
      <w:pPr>
        <w:pStyle w:val="Heading1"/>
      </w:pPr>
      <w:r>
        <w:t>Findings</w:t>
      </w:r>
    </w:p>
    <w:p>
      <w:r>
        <w:t>Practitioners and policymakers alike have a role to play here. The discussion draws on established throughput methods and current data. Careful framing guards against overstatement.</w:t>
      </w:r>
    </w:p>
    <w:p>
      <w:pPr>
        <w:pStyle w:val="Heading1"/>
      </w:pPr>
      <w:r>
        <w:t>Recommendations</w:t>
      </w:r>
    </w:p>
    <w:p>
      <w:r>
        <w:t>Recent analysis points toward a tractable path forward. Practitioners and policymakers alike have a role to play here.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https://doi.org/10.1126/science.1259855</w:t>
      </w:r>
    </w:p>
    <w:p>
      <w:pPr>
        <w:pStyle w:val="ListNumber"/>
      </w:pPr>
      <w:r>
        <w:t>[2] https://doi.org/10.1021/jacs.9b02765</w:t>
      </w:r>
    </w:p>
    <w:p>
      <w:pPr>
        <w:pStyle w:val="ListNumber"/>
      </w:pPr>
      <w:r>
        <w:t>[3] https://doi.org/10.1002/anie.201907688</w:t>
      </w:r>
    </w:p>
    <w:p>
      <w:pPr>
        <w:pStyle w:val="ListNumber"/>
      </w:pPr>
      <w:r>
        <w:t>[4] https://doi.org/10.1073/pnas.1517384113</w:t>
      </w:r>
    </w:p>
    <w:p>
      <w:pPr>
        <w:pStyle w:val="ListNumber"/>
      </w:pPr>
      <w:r>
        <w:t>[5] https://doi.org/10.1073/pnas.1517384113</w:t>
      </w:r>
    </w:p>
    <w:p>
      <w:pPr>
        <w:pStyle w:val="ListNumber"/>
      </w:pPr>
      <w:r>
        <w:t>[6] https://doi.org/10.1371/journal.pone.0173664</w:t>
      </w:r>
    </w:p>
    <w:p>
      <w:pPr>
        <w:pStyle w:val="ListNumber"/>
      </w:pPr>
      <w:r>
        <w:t>[7] https://doi.org/10.1126/science.1259855</w:t>
      </w:r>
    </w:p>
    <w:p>
      <w:pPr>
        <w:pStyle w:val="ListNumber"/>
      </w:pPr>
      <w:r>
        <w:t>[8] https://doi.org/10.1145/3292500.3330701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