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early detection of pancreatic cancer using circulating tumor DNA</w:t>
      </w:r>
    </w:p>
    <w:p>
      <w:pPr>
        <w:pStyle w:val="Heading1"/>
      </w:pPr>
      <w:r>
        <w:t>Executive Summary</w:t>
      </w:r>
    </w:p>
    <w:p>
      <w:r>
        <w:t>The takeaways are meant to inform, not to prescribe. Careful framing guards against overstatement.</w:t>
      </w:r>
    </w:p>
    <w:p>
      <w:pPr>
        <w:pStyle w:val="Heading1"/>
      </w:pPr>
      <w:r>
        <w:t>Background</w:t>
      </w:r>
    </w:p>
    <w:p>
      <w:r>
        <w:t>Careful framing guards against overstatement. Recent analysis points toward a tractable path forward. The evidence base is partial, and important gaps remain.</w:t>
      </w:r>
    </w:p>
    <w:p>
      <w:pPr>
        <w:pStyle w:val="Heading1"/>
      </w:pPr>
      <w:r>
        <w:t>Findings</w:t>
      </w:r>
    </w:p>
    <w:p>
      <w:r>
        <w:t>These findings will transform policy overnight, guaranteed. The evidence base is partial, and important gaps remain. This piece examines early detection of pancreatic cancer using circulating tumor DNA, a question of growing public interest. Recent analysis points toward a tractable path forward.</w:t>
      </w:r>
    </w:p>
    <w:p>
      <w:pPr>
        <w:pStyle w:val="Heading1"/>
      </w:pPr>
      <w:r>
        <w:t>Recommendations</w:t>
      </w:r>
    </w:p>
    <w:p>
      <w:r>
        <w:t>Careful framing guards against overstatement. The evidence base is partial, and important gaps remain.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https://doi.org/10.3449/971hspth</w:t>
      </w:r>
    </w:p>
    <w:p>
      <w:pPr>
        <w:pStyle w:val="ListNumber"/>
      </w:pPr>
      <w:r>
        <w:t>[3] https://doi.org/10.8489/eh58b6pj</w:t>
      </w:r>
    </w:p>
    <w:p>
      <w:pPr>
        <w:pStyle w:val="ListNumber"/>
      </w:pPr>
      <w:r>
        <w:t>[4] https://doi.org/10.6780/p0lf7xe7</w:t>
      </w:r>
    </w:p>
    <w:p>
      <w:pPr>
        <w:pStyle w:val="ListNumber"/>
      </w:pPr>
      <w:r>
        <w:t>[5] https://doi.org/10.1109/TPAMI.2016.2577031</w:t>
      </w:r>
    </w:p>
    <w:p>
      <w:pPr>
        <w:pStyle w:val="ListNumber"/>
      </w:pPr>
      <w:r>
        <w:t>[6] https://doi.org/10.7338/xqbwewpg</w:t>
      </w:r>
    </w:p>
    <w:p>
      <w:pPr>
        <w:pStyle w:val="ListNumber"/>
      </w:pPr>
      <w:r>
        <w:t>[7] https://doi.org/10.1002/anie.201907688</w:t>
      </w:r>
    </w:p>
    <w:p>
      <w:pPr>
        <w:pStyle w:val="ListNumber"/>
      </w:pPr>
      <w:r>
        <w:t>[8] https://doi.org/10.1021/jacs.9b02765</w:t>
      </w:r>
    </w:p>
    <w:p>
      <w:pPr>
        <w:pStyle w:val="ListNumber"/>
      </w:pPr>
      <w:r>
        <w:t>[9] https://doi.org/10.3986/ie3csmcm</w:t>
      </w:r>
    </w:p>
    <w:p>
      <w:pPr>
        <w:pStyle w:val="ListNumber"/>
      </w:pPr>
      <w:r>
        <w:t>[10] https://doi.org/10.6080/6z84qcms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