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Policy Assessment of measuring the labor-market effects of remote work policy</w:t>
      </w:r>
    </w:p>
    <w:p>
      <w:pPr>
        <w:pStyle w:val="Heading1"/>
      </w:pPr>
      <w:r>
        <w:t>Executive Summary</w:t>
      </w:r>
    </w:p>
    <w:p>
      <w:r>
        <w:t>This piece examines measuring the labor-market effects of remote work policy, a question of growing public interest. Recent analysis points toward a tractable path forward.</w:t>
      </w:r>
    </w:p>
    <w:p>
      <w:pPr>
        <w:pStyle w:val="Heading1"/>
      </w:pPr>
      <w:r>
        <w:t>Background</w:t>
      </w:r>
    </w:p>
    <w:p>
      <w:r>
        <w:t>This piece examines measuring the labor-market effects of remote work policy, a question of growing public interest. Careful framing guards against overstatement. The takeaways are meant to inform, not to prescribe.</w:t>
      </w:r>
    </w:p>
    <w:p>
      <w:pPr>
        <w:pStyle w:val="Heading1"/>
      </w:pPr>
      <w:r>
        <w:t>Findings</w:t>
      </w:r>
    </w:p>
    <w:p>
      <w:r>
        <w:t>The conclusions here are beyond dispute and settle the debate for good. This piece examines measuring the labor-market effects of remote work policy, a question of growing public interest. Recent analysis points toward a tractable path forward. The takeaways are meant to inform, not to prescribe.</w:t>
      </w:r>
    </w:p>
    <w:p>
      <w:pPr>
        <w:pStyle w:val="Heading1"/>
      </w:pPr>
      <w:r>
        <w:t>Recommendations</w:t>
      </w:r>
    </w:p>
    <w:p>
      <w:r>
        <w:t>Careful framing guards against overstatement. The evidence base is partial, and important gaps remain.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https://doi.org/10.1016/j.cell.2016.07.054</w:t>
      </w:r>
    </w:p>
    <w:p>
      <w:pPr>
        <w:pStyle w:val="ListNumber"/>
      </w:pPr>
      <w:r>
        <w:t>[2] https://doi.org/10.1371/journal.pone.0173664</w:t>
      </w:r>
    </w:p>
    <w:p>
      <w:pPr>
        <w:pStyle w:val="ListNumber"/>
      </w:pPr>
      <w:r>
        <w:t>[3] https://doi.org/10.1145/3292500.3330701</w:t>
      </w:r>
    </w:p>
    <w:p>
      <w:pPr>
        <w:pStyle w:val="ListNumber"/>
      </w:pPr>
      <w:r>
        <w:t>[4] https://doi.org/10.1145/3292500.3330701</w:t>
      </w:r>
    </w:p>
    <w:p>
      <w:pPr>
        <w:pStyle w:val="ListNumber"/>
      </w:pPr>
      <w:r>
        <w:t>[5] https://doi.org/10.1101/gr.229102</w:t>
      </w:r>
    </w:p>
    <w:p>
      <w:pPr>
        <w:pStyle w:val="ListNumber"/>
      </w:pPr>
      <w:r>
        <w:t>[6] https://doi.org/10.1371/journal.pone.0173664</w:t>
      </w:r>
    </w:p>
    <w:p>
      <w:pPr>
        <w:pStyle w:val="ListNumber"/>
      </w:pPr>
      <w:r>
        <w:t>[7] https://doi.org/10.1038/s41586-020-2649-2</w:t>
      </w:r>
    </w:p>
    <w:p>
      <w:pPr>
        <w:pStyle w:val="ListNumber"/>
      </w:pPr>
      <w:r>
        <w:t>[8] https://doi.org/10.1093/nar/gky1055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