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Early detection of pancreatic cancer using circulating tumor DNA: Findings and Recommendations</w:t>
      </w:r>
    </w:p>
    <w:p>
      <w:pPr>
        <w:pStyle w:val="Heading1"/>
      </w:pPr>
      <w:r>
        <w:t>Executive Summary</w:t>
      </w:r>
    </w:p>
    <w:p>
      <w:r>
        <w:t>Recent analysis points toward a tractable path forward. The discussion draws on established mechanistic methods and current data.</w:t>
      </w:r>
    </w:p>
    <w:p>
      <w:pPr>
        <w:pStyle w:val="Heading1"/>
      </w:pPr>
      <w:r>
        <w:t>Background</w:t>
      </w:r>
    </w:p>
    <w:p>
      <w:r>
        <w:t>This piece examines early detection of pancreatic cancer using circulating tumor DNA, a question of growing public interest. The discussion draws on established mechanistic methods and current data. Careful framing guards against overstatement.</w:t>
      </w:r>
    </w:p>
    <w:p>
      <w:pPr>
        <w:pStyle w:val="Heading1"/>
      </w:pPr>
      <w:r>
        <w:t>Findings</w:t>
      </w:r>
    </w:p>
    <w:p>
      <w:r>
        <w:t>This is, without question, the definitive account of the issue. The takeaways are meant to inform, not to prescribe. Recent analysis points toward a tractable path forward. Practitioners and policymakers alike have a role to play here.</w:t>
      </w:r>
    </w:p>
    <w:p>
      <w:pPr>
        <w:pStyle w:val="Heading1"/>
      </w:pPr>
      <w:r>
        <w:t>Recommendations</w:t>
      </w:r>
    </w:p>
    <w:p>
      <w:r>
        <w:t>Recent analysis points toward a tractable path forward. Practitioners and policymakers alike have a role to play here.</w:t>
      </w:r>
    </w:p>
    <w:p>
      <w:pPr>
        <w:pStyle w:val="Heading1"/>
      </w:pPr>
      <w:r>
        <w:t>Endnotes</w:t>
      </w:r>
    </w:p>
    <w:p>
      <w:pPr>
        <w:pStyle w:val="ListNumber"/>
      </w:pPr>
      <w:r>
        <w:t>[1] https://doi.org/10.1101/gr.229102</w:t>
      </w:r>
    </w:p>
    <w:p>
      <w:pPr>
        <w:pStyle w:val="ListNumber"/>
      </w:pPr>
      <w:r>
        <w:t>[2] https://doi.org/10.3274/rtr5jek1</w:t>
      </w:r>
    </w:p>
    <w:p>
      <w:pPr>
        <w:pStyle w:val="ListNumber"/>
      </w:pPr>
      <w:r>
        <w:t>[3] https://doi.org/10.8933/exqp5m3g</w:t>
      </w:r>
    </w:p>
    <w:p>
      <w:pPr>
        <w:pStyle w:val="ListNumber"/>
      </w:pPr>
      <w:r>
        <w:t>[4] https://doi.org/10.7483/vyv2v1it</w:t>
      </w:r>
    </w:p>
    <w:p>
      <w:pPr>
        <w:pStyle w:val="ListNumber"/>
      </w:pPr>
      <w:r>
        <w:t>[5] https://doi.org/10.1101/gr.229102</w:t>
      </w:r>
    </w:p>
    <w:p>
      <w:pPr>
        <w:pStyle w:val="ListNumber"/>
      </w:pPr>
      <w:r>
        <w:t>[6] https://doi.org/10.1001/jama.2016.9797</w:t>
      </w:r>
    </w:p>
    <w:p>
      <w:pPr>
        <w:pStyle w:val="ListNumber"/>
      </w:pPr>
      <w:r>
        <w:t>[7] https://doi.org/10.1145/3292500.3330701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