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Behavioral economics of retirement savings among gig workers: Mechanisms and Interventions</w:t>
      </w:r>
    </w:p>
    <w:p>
      <w:pPr>
        <w:pStyle w:val="Heading1"/>
      </w:pPr>
      <w:r>
        <w:t>Specific Aims</w:t>
      </w:r>
    </w:p>
    <w:p>
      <w:r>
        <w:t>Aim 1: Advance behavioral economics of retirement savings among gig workers via a policy-focused strategy.</w:t>
      </w:r>
    </w:p>
    <w:p>
      <w:r>
        <w:t>Aim 2: Advance behavioral economics of retirement savings among gig workers via a policy-focused strategy.</w:t>
      </w:r>
    </w:p>
    <w:p>
      <w:r>
        <w:t>Aim 3: Advance behavioral economics of retirement savings among gig workers via a policy-focused strategy.</w:t>
      </w:r>
    </w:p>
    <w:p>
      <w:pPr>
        <w:pStyle w:val="Heading1"/>
      </w:pPr>
      <w:r>
        <w:t>Background</w:t>
      </w:r>
    </w:p>
    <w:p>
      <w:r>
        <w:t>We will assemble a multidisciplinary team with complementary expertise. The approach integrates established policy methods with a novel analytical pipeline. Rigorous, pre-registered analyses will guard against bias and support reproducibility. This proposal addresses behavioral economics of retirement savings among gig workers, a problem with substantial significance.</w:t>
      </w:r>
    </w:p>
    <w:p>
      <w:pPr>
        <w:pStyle w:val="Heading1"/>
      </w:pPr>
      <w:r>
        <w:t>Approach</w:t>
      </w:r>
    </w:p>
    <w:p>
      <w:r>
        <w:t>We will assemble a multidisciplinary team with complementary expertise. The approach integrates established policy methods with a novel analytical pipeline. Prior work has established a partial understanding, yet key gaps remain. Our preliminary data suggest a tractable path toward measurable improvement.</w:t>
      </w:r>
    </w:p>
    <w:p>
      <w:pPr>
        <w:pStyle w:val="Heading1"/>
      </w:pPr>
      <w:r>
        <w:t>Innovation</w:t>
      </w:r>
    </w:p>
    <w:p>
      <w:r>
        <w:t>The approach integrates established policy methods with a novel analytical pipeline.</w:t>
      </w:r>
    </w:p>
    <w:p>
      <w:pPr>
        <w:pStyle w:val="Heading1"/>
      </w:pPr>
      <w:r>
        <w:t>Investigator Context</w:t>
      </w:r>
    </w:p>
    <w:p>
      <w:r>
        <w:t>Two co-equal PIs contribute complementary methods under joint leadership. The R2 host institution offers focused departmental resources and regional research partnerships, backed by a growing institutional research base.</w:t>
      </w:r>
    </w:p>
    <w:p>
      <w:pPr>
        <w:pStyle w:val="Heading1"/>
      </w:pPr>
      <w:r>
        <w:t>Budget Justification</w:t>
      </w:r>
    </w:p>
    <w:p>
      <w:r>
        <w:t>Budget: personnel $422,145; equipment $39,773; travel $7,027; indirect costs $89,050. Total requested support is $502,980 over 3 years at a R2 institution.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https://doi.org/10.1145/3292500.3330701</w:t>
      </w:r>
    </w:p>
    <w:p>
      <w:pPr>
        <w:pStyle w:val="ListNumber"/>
      </w:pPr>
      <w:r>
        <w:t>[2] https://doi.org/10.1101/gr.229102</w:t>
      </w:r>
    </w:p>
    <w:p>
      <w:pPr>
        <w:pStyle w:val="ListNumber"/>
      </w:pPr>
      <w:r>
        <w:t>[3] https://doi.org/10.1109/TPAMI.2016.2577031</w:t>
      </w:r>
    </w:p>
    <w:p>
      <w:pPr>
        <w:pStyle w:val="ListNumber"/>
      </w:pPr>
      <w:r>
        <w:t>[4] https://doi.org/10.1001/jama.2016.9797</w:t>
      </w:r>
    </w:p>
    <w:p>
      <w:pPr>
        <w:pStyle w:val="ListNumber"/>
      </w:pPr>
      <w:r>
        <w:t>[5] https://doi.org/10.1056/NEJMoa2034577</w:t>
      </w:r>
    </w:p>
    <w:p>
      <w:pPr>
        <w:pStyle w:val="ListNumber"/>
      </w:pPr>
      <w:r>
        <w:t>[6] https://doi.org/10.1145/3292500.3330701</w:t>
      </w:r>
    </w:p>
    <w:p>
      <w:pPr>
        <w:pStyle w:val="ListNumber"/>
      </w:pPr>
      <w:r>
        <w:t>[7] https://doi.org/10.1145/3292500.3330701</w:t>
      </w:r>
    </w:p>
    <w:p>
      <w:pPr>
        <w:pStyle w:val="ListNumber"/>
      </w:pPr>
      <w:r>
        <w:t>[8] https://doi.org/10.1001/jama.2016.9797</w:t>
      </w:r>
    </w:p>
    <w:p>
      <w:pPr>
        <w:pStyle w:val="ListNumber"/>
      </w:pPr>
      <w:r>
        <w:t>[9] https://doi.org/10.1056/NEJMoa2034577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