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Toward behavioral economics of retirement savings among gig workers</w:t>
      </w:r>
    </w:p>
    <w:p>
      <w:pPr>
        <w:pStyle w:val="Heading1"/>
      </w:pPr>
      <w:r>
        <w:t>Specific Aims</w:t>
      </w:r>
    </w:p>
    <w:p>
      <w:r>
        <w:t>Aim 1: Advance behavioral economics of retirement savings among gig workers via a policy-focused strategy.</w:t>
      </w:r>
    </w:p>
    <w:p>
      <w:r>
        <w:t>Aim 2: Advance behavioral economics of retirement savings among gig workers via a policy-focused strategy.</w:t>
      </w:r>
    </w:p>
    <w:p>
      <w:pPr>
        <w:pStyle w:val="Heading1"/>
      </w:pPr>
      <w:r>
        <w:t>Background</w:t>
      </w:r>
    </w:p>
    <w:p>
      <w:r>
        <w:t>Findings will be disseminated through peer-reviewed publication and open data release. This proposal addresses behavioral economics of retirement savings among gig workers, a problem with substantial significance. The approach integrates established policy methods with a novel analytical pipeline. Prior work has established a partial understanding, yet key gaps remain.</w:t>
      </w:r>
    </w:p>
    <w:p>
      <w:pPr>
        <w:pStyle w:val="Heading1"/>
      </w:pPr>
      <w:r>
        <w:t>Approach</w:t>
      </w:r>
    </w:p>
    <w:p>
      <w:r>
        <w:t>Our preliminary data suggest a tractable path toward measurable improvement. Prior work has established a partial understanding, yet key gaps remain. Rigorous, pre-registered analyses will guard against bias and support reproducibility. Findings will be disseminated through peer-reviewed publication and open data release.</w:t>
      </w:r>
    </w:p>
    <w:p>
      <w:pPr>
        <w:pStyle w:val="Heading1"/>
      </w:pPr>
      <w:r>
        <w:t>Innovation</w:t>
      </w:r>
    </w:p>
    <w:p>
      <w:r>
        <w:t>Rigorous, pre-registered analyses will guard against bias and support reproducibility.</w:t>
      </w:r>
    </w:p>
    <w:p>
      <w:pPr>
        <w:pStyle w:val="Heading1"/>
      </w:pPr>
      <w:r>
        <w:t>Investigator Context</w:t>
      </w:r>
    </w:p>
    <w:p>
      <w:r>
        <w:t>The PI's first independent award; strong mentorship is in place. The R2 host institution offers focused departmental resources and regional research partnerships, backed by a growing institutional research base.</w:t>
      </w:r>
    </w:p>
    <w:p>
      <w:pPr>
        <w:pStyle w:val="Heading1"/>
      </w:pPr>
      <w:r>
        <w:t>Budget Justification</w:t>
      </w:r>
    </w:p>
    <w:p>
      <w:r>
        <w:t>Budget: personnel $240,707; equipment $88,012; travel $14,307; indirect costs $140,878. Total requested support is $483,904 over 2 years at a R2 institution.</w:t>
      </w:r>
    </w:p>
    <w:p>
      <w:pPr>
        <w:pStyle w:val="Heading1"/>
      </w:pPr>
      <w:r>
        <w:t>References</w:t>
      </w:r>
    </w:p>
    <w:p>
      <w:pPr>
        <w:pStyle w:val="ListNumber"/>
      </w:pPr>
      <w:r>
        <w:t>[1] https://doi.org/10.1145/3292500.3330701</w:t>
      </w:r>
    </w:p>
    <w:p>
      <w:pPr>
        <w:pStyle w:val="ListNumber"/>
      </w:pPr>
      <w:r>
        <w:t>[2] https://doi.org/10.1145/3292500.3330701</w:t>
      </w:r>
    </w:p>
    <w:p>
      <w:pPr>
        <w:pStyle w:val="ListNumber"/>
      </w:pPr>
      <w:r>
        <w:t>[3] https://doi.org/10.1126/science.1259855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