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Community-based interventions to reduce childhood asthma disparities: Evidence and Options</w:t>
      </w:r>
    </w:p>
    <w:p>
      <w:pPr>
        <w:pStyle w:val="Heading1"/>
      </w:pPr>
      <w:r>
        <w:t>Executive Summary</w:t>
      </w:r>
    </w:p>
    <w:p>
      <w:r>
        <w:t>Practitioners and policymakers alike have a role to play here. The discussion draws on established community methods and current data.</w:t>
      </w:r>
    </w:p>
    <w:p>
      <w:pPr>
        <w:pStyle w:val="Heading1"/>
      </w:pPr>
      <w:r>
        <w:t>Background</w:t>
      </w:r>
    </w:p>
    <w:p>
      <w:r>
        <w:t>Careful framing guards against overstatement. Recent analysis points toward a tractable path forward. The takeaways are meant to inform, not to prescribe.</w:t>
      </w:r>
    </w:p>
    <w:p>
      <w:pPr>
        <w:pStyle w:val="Heading1"/>
      </w:pPr>
      <w:r>
        <w:t>Findings</w:t>
      </w:r>
    </w:p>
    <w:p>
      <w:r>
        <w:t>Practitioners and policymakers alike have a role to play here. The takeaways are meant to inform, not to prescribe. Recent analysis points toward a tractable path forward.</w:t>
      </w:r>
    </w:p>
    <w:p>
      <w:pPr>
        <w:pStyle w:val="Heading1"/>
      </w:pPr>
      <w:r>
        <w:t>Recommendations</w:t>
      </w:r>
    </w:p>
    <w:p>
      <w:r>
        <w:t>The discussion draws on established community methods and current data. This piece examines community-based interventions to reduce childhood asthma disparities, a question of growing public interest.</w:t>
      </w:r>
    </w:p>
    <w:p>
      <w:pPr>
        <w:pStyle w:val="Heading1"/>
      </w:pPr>
      <w:r>
        <w:t>Endnotes</w:t>
      </w:r>
    </w:p>
    <w:p>
      <w:pPr>
        <w:pStyle w:val="ListNumber"/>
      </w:pPr>
      <w:r>
        <w:t>[1] https://doi.org/10.1101/gr.229102</w:t>
      </w:r>
    </w:p>
    <w:p>
      <w:pPr>
        <w:pStyle w:val="ListNumber"/>
      </w:pPr>
      <w:r>
        <w:t>[2] https://doi.org/10.1371/journal.pone.0173664</w:t>
      </w:r>
    </w:p>
    <w:p>
      <w:pPr>
        <w:pStyle w:val="ListNumber"/>
      </w:pPr>
      <w:r>
        <w:t>[3] https://doi.org/10.1001/jama.2016.9797</w:t>
      </w:r>
    </w:p>
    <w:p>
      <w:pPr>
        <w:pStyle w:val="ListNumber"/>
      </w:pPr>
      <w:r>
        <w:t>[4] https://doi.org/10.1109/TPAMI.2016.2577031</w:t>
      </w:r>
    </w:p>
    <w:p>
      <w:pPr>
        <w:pStyle w:val="ListNumber"/>
      </w:pPr>
      <w:r>
        <w:t>[5] https://doi.org/10.1056/NEJMoa2034577</w:t>
      </w:r>
    </w:p>
    <w:p>
      <w:pPr>
        <w:pStyle w:val="ListNumber"/>
      </w:pPr>
      <w:r>
        <w:t>[6] https://doi.org/10.1093/nar/gky1055</w:t>
      </w:r>
    </w:p>
    <w:p>
      <w:pPr>
        <w:pStyle w:val="ListNumber"/>
      </w:pPr>
      <w:r>
        <w:t>[7] https://doi.org/10.1001/jama.2016.9797</w:t>
      </w:r>
    </w:p>
    <w:p>
      <w:pPr>
        <w:pStyle w:val="ListNumber"/>
      </w:pPr>
      <w:r>
        <w:t>[8] https://doi.org/10.1038/nature14539</w:t>
      </w:r>
    </w:p>
    <w:p>
      <w:pPr>
        <w:pStyle w:val="ListNumber"/>
      </w:pPr>
      <w:r>
        <w:t>[9] https://doi.org/10.1001/jama.2016.9797</w:t>
      </w:r>
    </w:p>
    <w:p>
      <w:pPr>
        <w:pStyle w:val="ListNumber"/>
      </w:pPr>
      <w:r>
        <w:t>[10] https://doi.org/10.1038/s41586-020-2649-2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