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Case for Rethinking machine learning for protein structure prediction in drug discovery</w:t>
      </w:r>
    </w:p>
    <w:p>
      <w:pPr>
        <w:pStyle w:val="Heading1"/>
      </w:pPr>
      <w:r>
        <w:t>Dek</w:t>
      </w:r>
    </w:p>
    <w:p>
      <w:r>
        <w:t>What we know about machine learning for protein structure prediction in drug discovery, and what to watch.</w:t>
      </w:r>
    </w:p>
    <w:p>
      <w:pPr>
        <w:pStyle w:val="Heading1"/>
      </w:pPr>
      <w:r>
        <w:t>Intro</w:t>
      </w:r>
    </w:p>
    <w:p>
      <w:r>
        <w:t>Careful framing guards against overstatement. The takeaways are meant to inform, not to prescribe. The discussion draws on established spectroscopy methods and current data.</w:t>
      </w:r>
    </w:p>
    <w:p>
      <w:pPr>
        <w:pStyle w:val="Heading1"/>
      </w:pPr>
      <w:r>
        <w:t>Body</w:t>
      </w:r>
    </w:p>
    <w:p>
      <w:r>
        <w:t>The evidence base is partial, and important gaps remain. Careful framing guards against overstatement. Recent analysis points toward a tractable path forward.</w:t>
      </w:r>
    </w:p>
    <w:p>
      <w:pPr>
        <w:pStyle w:val="Heading1"/>
      </w:pPr>
      <w:r>
        <w:t>Takeaway</w:t>
      </w:r>
    </w:p>
    <w:p>
      <w:r>
        <w:t>This is, without question, the definitive account of the issue. These findings will transform policy overnight, guaranteed.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https://doi.org/10.3086/oabt3818</w:t>
      </w:r>
    </w:p>
    <w:p>
      <w:pPr>
        <w:pStyle w:val="ListNumber"/>
      </w:pPr>
      <w:r>
        <w:t>[2] https://doi.org/10.1073/pnas.1517384113</w:t>
      </w:r>
    </w:p>
    <w:p>
      <w:pPr>
        <w:pStyle w:val="ListNumber"/>
      </w:pPr>
      <w:r>
        <w:t>[3] https://doi.org/10.5516/mhc0bpne</w:t>
      </w:r>
    </w:p>
    <w:p>
      <w:pPr>
        <w:pStyle w:val="ListNumber"/>
      </w:pPr>
      <w:r>
        <w:t>[4] https://doi.org/10.8314/dpcz2o8n</w:t>
      </w:r>
    </w:p>
    <w:p>
      <w:pPr>
        <w:pStyle w:val="ListNumber"/>
      </w:pPr>
      <w:r>
        <w:t>[5] https://doi.org/10.1038/s41586-020-2649-2</w:t>
      </w:r>
    </w:p>
    <w:p>
      <w:pPr>
        <w:pStyle w:val="ListNumber"/>
      </w:pPr>
      <w:r>
        <w:t>[6] https://doi.org/10.5739/ouuptj7o</w:t>
      </w:r>
    </w:p>
    <w:p>
      <w:pPr>
        <w:pStyle w:val="ListNumber"/>
      </w:pPr>
      <w:r>
        <w:t>[7] https://doi.org/10.1998/9l195dwy</w:t>
      </w:r>
    </w:p>
    <w:p>
      <w:pPr>
        <w:pStyle w:val="ListNumber"/>
      </w:pPr>
      <w:r>
        <w:t>[8] https://doi.org/10.7821/0jtyl84p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