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Room-temperature quantum sensing for magnetic imaging: A Multidisciplinary Research Program</w:t>
      </w:r>
    </w:p>
    <w:p>
      <w:pPr>
        <w:pStyle w:val="Heading1"/>
      </w:pPr>
      <w:r>
        <w:t>Specific Aims</w:t>
      </w:r>
    </w:p>
    <w:p>
      <w:r>
        <w:t>Aim 1: Advance room-temperature quantum sensing for magnetic imaging via a spectroscopy-focused strategy.</w:t>
      </w:r>
    </w:p>
    <w:p>
      <w:r>
        <w:t>Aim 2: Advance room-temperature quantum sensing for magnetic imaging via a spectroscopy-focused strategy.</w:t>
      </w:r>
    </w:p>
    <w:p>
      <w:r>
        <w:t>Aim 3: Advance room-temperature quantum sensing for magnetic imaging via a spectroscopy-focused strategy.</w:t>
      </w:r>
    </w:p>
    <w:p>
      <w:pPr>
        <w:pStyle w:val="Heading1"/>
      </w:pPr>
      <w:r>
        <w:t>Background</w:t>
      </w:r>
    </w:p>
    <w:p>
      <w:r>
        <w:t>Rigorous, pre-registered analyses will guard against bias and support reproducibility. Our preliminary data suggest a tractable path toward measurable improvement. We will assemble a multidisciplinary team with complementary expertise. This proposal addresses room-temperature quantum sensing for magnetic imaging, a problem with substantial significance.</w:t>
      </w:r>
    </w:p>
    <w:p>
      <w:pPr>
        <w:pStyle w:val="Heading1"/>
      </w:pPr>
      <w:r>
        <w:t>Approach</w:t>
      </w:r>
    </w:p>
    <w:p>
      <w:r>
        <w:t>Prior work has established a partial understanding, yet key gaps remain. This proposal addresses room-temperature quantum sensing for magnetic imaging, a problem with substantial significance. Rigorous, pre-registered analyses will guard against bias and support reproducibility.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We will assemble a multidisciplinary team with complementary expertise.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Total requested support is $4,206,600 over 3 years at a R1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https://doi.org/10.1016/j.cell.2016.07.054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https://doi.org/10.1145/3292500.3330701</w:t>
      </w:r>
    </w:p>
    <w:p>
      <w:pPr>
        <w:pStyle w:val="ListNumber"/>
      </w:pPr>
      <w:r>
        <w:t>[4] https://doi.org/10.1101/gr.229102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https://doi.org/10.1101/gr.229102</w:t>
      </w:r>
    </w:p>
    <w:p>
      <w:pPr>
        <w:pStyle w:val="ListNumber"/>
      </w:pPr>
      <w:r>
        <w:t>[7] https://doi.org/10.1016/j.cell.2016.07.054</w:t>
      </w:r>
    </w:p>
    <w:p>
      <w:pPr>
        <w:pStyle w:val="ListNumber"/>
      </w:pPr>
      <w:r>
        <w:t>[8] https://doi.org/10.1145/3292500.3330701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