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Gene therapy vectors for inherited retinal degeneration: Mechanisms and Interventions</w:t>
      </w:r>
    </w:p>
    <w:p>
      <w:pPr>
        <w:pStyle w:val="Heading1"/>
      </w:pPr>
      <w:r>
        <w:t>Specific Aims</w:t>
      </w:r>
    </w:p>
    <w:p>
      <w:r>
        <w:t>Aim 1: Advance gene therapy vectors for inherited retinal degeneration via a translational-focused strategy.</w:t>
      </w:r>
    </w:p>
    <w:p>
      <w:r>
        <w:t>Aim 2: Advance gene therapy vectors for inherited retinal degeneration via a translational-focused strategy.</w:t>
      </w:r>
    </w:p>
    <w:p>
      <w:r>
        <w:t>Aim 3: Advance gene therapy vectors for inherited retinal degeneration via a translational-focused strategy.</w:t>
      </w:r>
    </w:p>
    <w:p>
      <w:pPr>
        <w:pStyle w:val="Heading1"/>
      </w:pPr>
      <w:r>
        <w:t>Background</w:t>
      </w:r>
    </w:p>
    <w:p>
      <w:r>
        <w:t>We will assemble a multidisciplinary team with complementary expertise. The approach integrates established translational methods with a novel analytical pipeline. Rigorous, pre-registered analyses will guard against bias and support reproducibility. Our preliminary data suggest a tractable path toward measurable improvement.</w:t>
      </w:r>
    </w:p>
    <w:p>
      <w:pPr>
        <w:pStyle w:val="Heading1"/>
      </w:pPr>
      <w:r>
        <w:t>Approach</w:t>
      </w:r>
    </w:p>
    <w:p>
      <w:r>
        <w:t>We will use appropriate methods to achieve the aims.</w:t>
      </w:r>
    </w:p>
    <w:p>
      <w:pPr>
        <w:pStyle w:val="Heading1"/>
      </w:pPr>
      <w:r>
        <w:t>Innovation</w:t>
      </w:r>
    </w:p>
    <w:p>
      <w:r>
        <w:t>The results will immediately transform practice nationwide upon completion. Success is certain; there are no meaningful risks or limitations to this plan.</w:t>
      </w:r>
    </w:p>
    <w:p>
      <w:pPr>
        <w:pStyle w:val="Heading1"/>
      </w:pPr>
      <w:r>
        <w:t>Investigator Context</w:t>
      </w:r>
    </w:p>
    <w:p>
      <w:r>
        <w:t>The applicant is a community nonprofit partnering with an academic core. The R2 host institution offers focused departmental resources and regional research partnerships, backed by a growing institutional research base.</w:t>
      </w:r>
    </w:p>
    <w:p>
      <w:pPr>
        <w:pStyle w:val="Heading1"/>
      </w:pPr>
      <w:r>
        <w:t>Budget Justification</w:t>
      </w:r>
    </w:p>
    <w:p>
      <w:r>
        <w:t>Total requested support is $2,102,192 over 2 years at a R2 institution, covering personnel, materials, and dissemination.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https://doi.org/10.1289/ehp.1104477</w:t>
      </w:r>
    </w:p>
    <w:p>
      <w:pPr>
        <w:pStyle w:val="ListNumber"/>
      </w:pPr>
      <w:r>
        <w:t>[2] https://doi.org/10.4522/12o0v3z0</w:t>
      </w:r>
    </w:p>
    <w:p>
      <w:pPr>
        <w:pStyle w:val="ListNumber"/>
      </w:pPr>
      <w:r>
        <w:t>[3] https://doi.org/10.7992/uqxj4eff</w:t>
      </w:r>
    </w:p>
    <w:p>
      <w:pPr>
        <w:pStyle w:val="ListNumber"/>
      </w:pPr>
      <w:r>
        <w:t>[4] https://doi.org/10.7105/i9d99vh0</w:t>
      </w:r>
    </w:p>
    <w:p>
      <w:pPr>
        <w:pStyle w:val="ListNumber"/>
      </w:pPr>
      <w:r>
        <w:t>[5] https://doi.org/10.1002/anie.201907688</w:t>
      </w:r>
    </w:p>
    <w:p>
      <w:pPr>
        <w:pStyle w:val="ListNumber"/>
      </w:pPr>
      <w:r>
        <w:t>[6] https://doi.org/10.1101/gr.229102</w:t>
      </w:r>
    </w:p>
    <w:p>
      <w:pPr>
        <w:pStyle w:val="ListNumber"/>
      </w:pPr>
      <w:r>
        <w:t>[7] https://doi.org/10.1038/nature14539</w:t>
      </w:r>
    </w:p>
    <w:p>
      <w:pPr>
        <w:pStyle w:val="ListNumber"/>
      </w:pPr>
      <w:r>
        <w:t>[8] https://doi.org/10.9313/nj4ogw9x</w:t>
      </w:r>
    </w:p>
    <w:p>
      <w:pPr>
        <w:pStyle w:val="ListNumber"/>
      </w:pPr>
      <w:r>
        <w:t>[9] https://doi.org/10.1038/nature14539</w:t>
      </w:r>
    </w:p>
    <w:p>
      <w:pPr>
        <w:pStyle w:val="ListNumber"/>
      </w:pPr>
      <w:r>
        <w:t>[10] https://doi.org/10.1021/jacs.9b02765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