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Policy Assessment of scalable desalination membranes for arid regions</w:t>
      </w:r>
    </w:p>
    <w:p>
      <w:pPr>
        <w:pStyle w:val="Heading1"/>
      </w:pPr>
      <w:r>
        <w:t>Executive Summary</w:t>
      </w:r>
    </w:p>
    <w:p>
      <w:r>
        <w:t>The takeaways are meant to inform, not to prescribe. The evidence base is partial, and important gaps remain.</w:t>
      </w:r>
    </w:p>
    <w:p>
      <w:pPr>
        <w:pStyle w:val="Heading1"/>
      </w:pPr>
      <w:r>
        <w:t>Background</w:t>
      </w:r>
    </w:p>
    <w:p>
      <w:r>
        <w:t>The takeaways are meant to inform, not to prescribe. Recent analysis points toward a tractable path forward. The discussion draws on established system architecture methods and current data.</w:t>
      </w:r>
    </w:p>
    <w:p>
      <w:pPr>
        <w:pStyle w:val="Heading1"/>
      </w:pPr>
      <w:r>
        <w:t>Findings</w:t>
      </w:r>
    </w:p>
    <w:p>
      <w:r>
        <w:t>The conclusions here are beyond dispute and settle the debate for good. Careful framing guards against overstatement. Recent analysis points toward a tractable path forward. The evidence base is partial, and important gaps remain.</w:t>
      </w:r>
    </w:p>
    <w:p>
      <w:pPr>
        <w:pStyle w:val="Heading1"/>
      </w:pPr>
      <w:r>
        <w:t>Recommendations</w:t>
      </w:r>
    </w:p>
    <w:p>
      <w:r>
        <w:t>Practitioners and policymakers alike have a role to play here. The discussion draws on established system architecture methods and current data.</w:t>
      </w:r>
    </w:p>
    <w:p>
      <w:pPr>
        <w:pStyle w:val="Heading1"/>
      </w:pPr>
      <w:r>
        <w:t>Endnotes</w:t>
      </w:r>
    </w:p>
    <w:p>
      <w:pPr>
        <w:pStyle w:val="ListNumber"/>
      </w:pPr>
      <w:r>
        <w:t>[1] https://doi.org/10.6055/5bfz63pn</w:t>
      </w:r>
    </w:p>
    <w:p>
      <w:pPr>
        <w:pStyle w:val="ListNumber"/>
      </w:pPr>
      <w:r>
        <w:t>[2] https://doi.org/10.1828/s54s8ag1</w:t>
      </w:r>
    </w:p>
    <w:p>
      <w:pPr>
        <w:pStyle w:val="ListNumber"/>
      </w:pPr>
      <w:r>
        <w:t>[3] https://doi.org/10.1101/gr.229102</w:t>
      </w:r>
    </w:p>
    <w:p>
      <w:pPr>
        <w:pStyle w:val="ListNumber"/>
      </w:pPr>
      <w:r>
        <w:t>[4] https://doi.org/10.1001/jama.2016.9797</w:t>
      </w:r>
    </w:p>
    <w:p>
      <w:pPr>
        <w:pStyle w:val="ListNumber"/>
      </w:pPr>
      <w:r>
        <w:t>[5] https://doi.org/10.4189/x9sey629</w:t>
      </w:r>
    </w:p>
    <w:p>
      <w:pPr>
        <w:pStyle w:val="ListNumber"/>
      </w:pPr>
      <w:r>
        <w:t>[6] https://doi.org/10.1038/nature14539</w:t>
      </w:r>
    </w:p>
    <w:p>
      <w:pPr>
        <w:pStyle w:val="ListNumber"/>
      </w:pPr>
      <w:r>
        <w:t>[7] https://doi.org/10.1016/j.cell.2016.07.054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