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Screening pathways for hypertension in underserved populations, Explained</w:t>
      </w:r>
    </w:p>
    <w:p>
      <w:pPr>
        <w:pStyle w:val="Heading1"/>
      </w:pPr>
      <w:r>
        <w:t>Dek</w:t>
      </w:r>
    </w:p>
    <w:p>
      <w:r>
        <w:t>What we know about screening pathways for hypertension in underserved populations, and what to watch.</w:t>
      </w:r>
    </w:p>
    <w:p>
      <w:pPr>
        <w:pStyle w:val="Heading1"/>
      </w:pPr>
      <w:r>
        <w:t>Intro</w:t>
      </w:r>
    </w:p>
    <w:p>
      <w:r>
        <w:t>Careful framing guards against overstatement. This piece examines screening pathways for hypertension in underserved populations, a question of growing public interest. Practitioners and policymakers alike have a role to play here.</w:t>
      </w:r>
    </w:p>
    <w:p>
      <w:pPr>
        <w:pStyle w:val="Heading1"/>
      </w:pPr>
      <w:r>
        <w:t>Body</w:t>
      </w:r>
    </w:p>
    <w:p>
      <w:r>
        <w:t>This piece examines screening pathways for hypertension in underserved populations, a question of growing public interest. Careful framing guards against overstatement. The takeaways are meant to inform, not to prescribe.</w:t>
      </w:r>
    </w:p>
    <w:p>
      <w:pPr>
        <w:pStyle w:val="Heading1"/>
      </w:pPr>
      <w:r>
        <w:t>Takeaway</w:t>
      </w:r>
    </w:p>
    <w:p>
      <w:r>
        <w:t>Practitioners and policymakers alike have a role to play here.</w:t>
      </w:r>
    </w:p>
    <w:p>
      <w:pPr>
        <w:pStyle w:val="Heading1"/>
      </w:pPr>
      <w:r>
        <w:t>Sources</w:t>
      </w:r>
    </w:p>
    <w:p>
      <w:pPr>
        <w:pStyle w:val="ListNumber"/>
      </w:pPr>
      <w:r>
        <w:t>[1] https://doi.org/10.1101/gr.229102</w:t>
      </w:r>
    </w:p>
    <w:p>
      <w:pPr>
        <w:pStyle w:val="ListNumber"/>
      </w:pPr>
      <w:r>
        <w:t>[2] https://doi.org/10.1289/ehp.1104477</w:t>
      </w:r>
    </w:p>
    <w:p>
      <w:pPr>
        <w:pStyle w:val="ListNumber"/>
      </w:pPr>
      <w:r>
        <w:t>[3] https://doi.org/10.1038/s41586-020-2649-2</w:t>
      </w:r>
    </w:p>
    <w:p>
      <w:pPr>
        <w:pStyle w:val="ListNumber"/>
      </w:pPr>
      <w:r>
        <w:t>[4] https://doi.org/10.1002/anie.201907688</w:t>
      </w:r>
    </w:p>
    <w:p>
      <w:pPr>
        <w:pStyle w:val="ListNumber"/>
      </w:pPr>
      <w:r>
        <w:t>[5] https://doi.org/10.1093/nar/gky1055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