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Why early detection of pancreatic cancer using circulating tumor DNA Matters Now</w:t>
      </w:r>
    </w:p>
    <w:p>
      <w:pPr>
        <w:pStyle w:val="Heading1"/>
      </w:pPr>
      <w:r>
        <w:t>Dek</w:t>
      </w:r>
    </w:p>
    <w:p>
      <w:r>
        <w:t>What we know about early detection of pancreatic cancer using circulating tumor DNA, and what to watch.</w:t>
      </w:r>
    </w:p>
    <w:p>
      <w:pPr>
        <w:pStyle w:val="Heading1"/>
      </w:pPr>
      <w:r>
        <w:t>Intro</w:t>
      </w:r>
    </w:p>
    <w:p>
      <w:r>
        <w:t>This piece examines early detection of pancreatic cancer using circulating tumor DNA, a question of growing public interest. The takeaways are meant to inform, not to prescribe. Practitioners and policymakers alike have a role to play here.</w:t>
      </w:r>
    </w:p>
    <w:p>
      <w:pPr>
        <w:pStyle w:val="Heading1"/>
      </w:pPr>
      <w:r>
        <w:t>Body</w:t>
      </w:r>
    </w:p>
    <w:p>
      <w:r>
        <w:t>Recent analysis points toward a tractable path forward. Careful framing guards against overstatement. Practitioners and policymakers alike have a role to play here.</w:t>
      </w:r>
    </w:p>
    <w:p>
      <w:pPr>
        <w:pStyle w:val="Heading1"/>
      </w:pPr>
      <w:r>
        <w:t>Takeaway</w:t>
      </w:r>
    </w:p>
    <w:p>
      <w:r>
        <w:t>This is, without question, the definitive account of the issue. Every serious observer already agrees; the matter is entirely settled.</w:t>
      </w:r>
    </w:p>
    <w:p>
      <w:pPr>
        <w:pStyle w:val="Heading1"/>
      </w:pPr>
      <w:r>
        <w:t>Sources</w:t>
      </w:r>
    </w:p>
    <w:p>
      <w:pPr>
        <w:pStyle w:val="ListNumber"/>
      </w:pPr>
      <w:r>
        <w:t>[1] https://doi.org/10.1016/j.cell.2016.07.054</w:t>
      </w:r>
    </w:p>
    <w:p>
      <w:pPr>
        <w:pStyle w:val="ListNumber"/>
      </w:pPr>
      <w:r>
        <w:t>[2] https://doi.org/10.1109/TPAMI.2016.2577031</w:t>
      </w:r>
    </w:p>
    <w:p>
      <w:pPr>
        <w:pStyle w:val="ListNumber"/>
      </w:pPr>
      <w:r>
        <w:t>[3] https://doi.org/10.1056/NEJMoa2034577</w:t>
      </w:r>
    </w:p>
    <w:p>
      <w:pPr>
        <w:pStyle w:val="ListNumber"/>
      </w:pPr>
      <w:r>
        <w:t>[4] https://doi.org/10.1289/ehp.1104477</w:t>
      </w:r>
    </w:p>
    <w:p>
      <w:pPr>
        <w:pStyle w:val="ListNumber"/>
      </w:pPr>
      <w:r>
        <w:t>[5] https://doi.org/10.1371/journal.pone.0173664</w:t>
      </w:r>
    </w:p>
    <w:p>
      <w:pPr>
        <w:pStyle w:val="ListNumber"/>
      </w:pPr>
      <w:r>
        <w:t>[6] https://doi.org/10.1073/pnas.1517384113</w:t>
      </w:r>
    </w:p>
    <w:p>
      <w:pPr>
        <w:pStyle w:val="ListNumber"/>
      </w:pPr>
      <w:r>
        <w:t>[7] https://doi.org/10.1093/nar/gky1055</w:t>
      </w:r>
    </w:p>
    <w:p>
      <w:pPr>
        <w:pStyle w:val="ListNumber"/>
      </w:pPr>
      <w:r>
        <w:t>[8] https://doi.org/10.1093/nar/gky1055</w:t>
      </w:r>
    </w:p>
    <w:p>
      <w:pPr>
        <w:pStyle w:val="ListNumber"/>
      </w:pPr>
      <w:r>
        <w:t>[9] https://doi.org/10.1038/s41586-020-2649-2</w:t>
      </w:r>
    </w:p>
    <w:p>
      <w:pPr>
        <w:pStyle w:val="ListNumber"/>
      </w:pPr>
      <w:r>
        <w:t>[10] https://doi.org/10.1126/science.1259855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