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Toward workforce pathways into the semiconductor manufacturing sector</w:t>
      </w:r>
    </w:p>
    <w:p>
      <w:pPr>
        <w:pStyle w:val="Heading1"/>
      </w:pPr>
      <w:r>
        <w:t>Specific Aims</w:t>
      </w:r>
    </w:p>
    <w:p>
      <w:r>
        <w:t>Aim 1: Advance workforce pathways into the semiconductor manufacturing sector via a population-focused strategy.</w:t>
      </w:r>
    </w:p>
    <w:p>
      <w:r>
        <w:t>Aim 2: Advance workforce pathways into the semiconductor manufacturing sector via a population-focused strategy.</w:t>
      </w:r>
    </w:p>
    <w:p>
      <w:pPr>
        <w:pStyle w:val="Heading1"/>
      </w:pPr>
      <w:r>
        <w:t>Background</w:t>
      </w:r>
    </w:p>
    <w:p>
      <w:r>
        <w:t>Our preliminary data suggest a tractable path toward measurable improvement. Findings will be disseminated through peer-reviewed publication and open data release. Rigorous, pre-registered analyses will guard against bias and support reproducibility. This proposal addresses workforce pathways into the semiconductor manufacturing sector, a problem with substantial significance.</w:t>
      </w:r>
    </w:p>
    <w:p>
      <w:pPr>
        <w:pStyle w:val="Heading1"/>
      </w:pPr>
      <w:r>
        <w:t>Approach</w:t>
      </w:r>
    </w:p>
    <w:p>
      <w:r>
        <w:t>This proposal addresses workforce pathways into the semiconductor manufacturing sector, a problem with substantial significance. Prior work has established a partial understanding, yet key gaps remain. Rigorous, pre-registered analyses will guard against bias and support reproducibility. Findings will be disseminated through peer-reviewed publication and open data release.</w:t>
      </w:r>
    </w:p>
    <w:p>
      <w:pPr>
        <w:pStyle w:val="Heading1"/>
      </w:pPr>
      <w:r>
        <w:t>Innovation</w:t>
      </w:r>
    </w:p>
    <w:p>
      <w:r>
        <w:t>Rigorous, pre-registered analyses will guard against bias and support reproducibility.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Total requested support is $514,158 over 3 years at a R2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https://doi.org/10.1371/journal.pone.0173664</w:t>
      </w:r>
    </w:p>
    <w:p>
      <w:pPr>
        <w:pStyle w:val="ListNumber"/>
      </w:pPr>
      <w:r>
        <w:t>[3] https://doi.org/10.1371/journal.pone.0173664</w:t>
      </w:r>
    </w:p>
    <w:p>
      <w:pPr>
        <w:pStyle w:val="ListNumber"/>
      </w:pPr>
      <w:r>
        <w:t>[4] https://doi.org/10.1093/nar/gky1055</w:t>
      </w:r>
    </w:p>
    <w:p>
      <w:pPr>
        <w:pStyle w:val="ListNumber"/>
      </w:pPr>
      <w:r>
        <w:t>[5] https://doi.org/10.1002/anie.201907688</w:t>
      </w:r>
    </w:p>
    <w:p>
      <w:pPr>
        <w:pStyle w:val="ListNumber"/>
      </w:pPr>
      <w:r>
        <w:t>[6] https://doi.org/10.1126/science.1259855</w:t>
      </w:r>
    </w:p>
    <w:p>
      <w:pPr>
        <w:pStyle w:val="ListNumber"/>
      </w:pPr>
      <w:r>
        <w:t>[7] https://doi.org/10.1056/NEJMoa2034577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