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Advancing measuring the labor-market effects of remote work policy</w:t>
      </w:r>
    </w:p>
    <w:p>
      <w:pPr>
        <w:pStyle w:val="Heading1"/>
      </w:pPr>
      <w:r>
        <w:t>Specific Aims</w:t>
      </w:r>
    </w:p>
    <w:p>
      <w:r>
        <w:t>Aim 1: Advance measuring the labor-market effects of remote work policy via a survey instrument-focused strategy.</w:t>
      </w:r>
    </w:p>
    <w:p>
      <w:r>
        <w:t>Aim 2: Advance measuring the labor-market effects of remote work policy via a survey instrument-focused strategy.</w:t>
      </w:r>
    </w:p>
    <w:p>
      <w:r>
        <w:t>Aim 3: Advance measuring the labor-market effects of remote work policy via a survey instrument-focused strategy.</w:t>
      </w:r>
    </w:p>
    <w:p>
      <w:pPr>
        <w:pStyle w:val="Heading1"/>
      </w:pPr>
      <w:r>
        <w:t>Background</w:t>
      </w:r>
    </w:p>
    <w:p>
      <w:r>
        <w:t>This proposal addresses measuring the labor-market effects of remote work policy, a problem with substantial significance. Our preliminary data suggest a tractable path toward measurable improvement. The approach integrates established survey instrument methods with a novel analytical pipeline. Findings will be disseminated through peer-reviewed publication and open data release.</w:t>
      </w:r>
    </w:p>
    <w:p>
      <w:pPr>
        <w:pStyle w:val="Heading1"/>
      </w:pPr>
      <w:r>
        <w:t>Approach</w:t>
      </w:r>
    </w:p>
    <w:p>
      <w:r>
        <w:t>We will assemble a multidisciplinary team with complementary expertise. Our preliminary data suggest a tractable path toward measurable improvement. Rigorous, pre-registered analyses will guard against bias and support reproducibility. Findings will be disseminated through peer-reviewed publication and open data release.</w:t>
      </w:r>
    </w:p>
    <w:p>
      <w:pPr>
        <w:pStyle w:val="Heading1"/>
      </w:pPr>
      <w:r>
        <w:t>Innovation</w:t>
      </w:r>
    </w:p>
    <w:p>
      <w:r>
        <w:t>Findings will be disseminated through peer-reviewed publication and open data release.</w:t>
      </w:r>
    </w:p>
    <w:p>
      <w:pPr>
        <w:pStyle w:val="Heading1"/>
      </w:pPr>
      <w:r>
        <w:t>Investigator Context</w:t>
      </w:r>
    </w:p>
    <w:p>
      <w:r>
        <w:t>The PI's first independent award; strong mentorship is in place. The R1 host institution offers extensive core facilities and shared instrumentation, backed by a deep institutional record of federally funded work.</w:t>
      </w:r>
    </w:p>
    <w:p>
      <w:pPr>
        <w:pStyle w:val="Heading1"/>
      </w:pPr>
      <w:r>
        <w:t>Budget Justification</w:t>
      </w:r>
    </w:p>
    <w:p>
      <w:r>
        <w:t>Total requested support is $1,669,564 over 4 years at a R1 institution, covering personnel, materials, and dissemination.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https://doi.org/10.1145/3292500.3330701</w:t>
      </w:r>
    </w:p>
    <w:p>
      <w:pPr>
        <w:pStyle w:val="ListNumber"/>
      </w:pPr>
      <w:r>
        <w:t>[2] https://doi.org/10.1371/journal.pone.0173664</w:t>
      </w:r>
    </w:p>
    <w:p>
      <w:pPr>
        <w:pStyle w:val="ListNumber"/>
      </w:pPr>
      <w:r>
        <w:t>[3] https://doi.org/10.1038/nature14539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