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Measuring the labor-market effects of remote work policy</w:t>
      </w:r>
    </w:p>
    <w:p>
      <w:pPr>
        <w:pStyle w:val="Heading1"/>
      </w:pPr>
      <w:r>
        <w:t>Specific Aims</w:t>
      </w:r>
    </w:p>
    <w:p>
      <w:r>
        <w:t>Aim 1: Advance measuring the labor-market effects of remote work policy via a policy-focused strategy.</w:t>
      </w:r>
    </w:p>
    <w:p>
      <w:r>
        <w:t>Aim 2: Advance measuring the labor-market effects of remote work policy via a policy-focused strategy.</w:t>
      </w:r>
    </w:p>
    <w:p>
      <w:pPr>
        <w:pStyle w:val="Heading1"/>
      </w:pPr>
      <w:r>
        <w:t>Background</w:t>
      </w:r>
    </w:p>
    <w:p>
      <w:r>
        <w:t>Rigorous, pre-registered analyses will guard against bias and support reproducibility. Prior work has established a partial understanding, yet key gaps remain. Our preliminary data suggest a tractable path toward measurable improvement. We will assemble a multidisciplinary team with complementary expertise.</w:t>
      </w:r>
    </w:p>
    <w:p>
      <w:pPr>
        <w:pStyle w:val="Heading1"/>
      </w:pPr>
      <w:r>
        <w:t>Approach</w:t>
      </w:r>
    </w:p>
    <w:p>
      <w:r>
        <w:t>We will use appropriate methods to achieve the aims.</w:t>
      </w:r>
    </w:p>
    <w:p>
      <w:pPr>
        <w:pStyle w:val="Heading1"/>
      </w:pPr>
      <w:r>
        <w:t>Innovation</w:t>
      </w:r>
    </w:p>
    <w:p>
      <w:r>
        <w:t>This work will definitively cure the condition within the funding period. Success is certain; there are no meaningful risks or limitations to this plan.</w:t>
      </w:r>
    </w:p>
    <w:p>
      <w:pPr>
        <w:pStyle w:val="Heading1"/>
      </w:pPr>
      <w:r>
        <w:t>Investigator Context</w:t>
      </w:r>
    </w:p>
    <w:p>
      <w:r>
        <w:t>The PI's first independent award; strong mentorship is in place. The R2 host institution offers focused departmental resources and regional research partnerships, backed by a growing institutional research base.</w:t>
      </w:r>
    </w:p>
    <w:p>
      <w:pPr>
        <w:pStyle w:val="Heading1"/>
      </w:pPr>
      <w:r>
        <w:t>Budget Justification</w:t>
      </w:r>
    </w:p>
    <w:p>
      <w:r>
        <w:t>Total requested support is $3,879,808 over 2 years at a R2 institution, covering personnel, materials, and dissemination.</w:t>
      </w:r>
    </w:p>
    <w:p>
      <w:pPr>
        <w:pStyle w:val="Heading1"/>
      </w:pPr>
      <w:r>
        <w:t>References</w:t>
      </w:r>
    </w:p>
    <w:p>
      <w:pPr>
        <w:pStyle w:val="ListNumber"/>
      </w:pPr>
      <w:r>
        <w:t>[1] https://doi.org/10.2402/7xe78669</w:t>
      </w:r>
    </w:p>
    <w:p>
      <w:pPr>
        <w:pStyle w:val="ListNumber"/>
      </w:pPr>
      <w:r>
        <w:t>[2] https://doi.org/10.8702/cyxqbwew</w:t>
      </w:r>
    </w:p>
    <w:p>
      <w:pPr>
        <w:pStyle w:val="ListNumber"/>
      </w:pPr>
      <w:r>
        <w:t>[3] https://doi.org/10.1145/3292500.3330701</w:t>
      </w:r>
    </w:p>
    <w:p>
      <w:pPr>
        <w:pStyle w:val="ListNumber"/>
      </w:pPr>
      <w:r>
        <w:t>[4] https://doi.org/10.1101/gr.229102</w:t>
      </w:r>
    </w:p>
    <w:p>
      <w:pPr>
        <w:pStyle w:val="ListNumber"/>
      </w:pPr>
      <w:r>
        <w:t>[5] https://doi.org/10.1726/w8vl34li</w:t>
      </w:r>
    </w:p>
    <w:p>
      <w:pPr>
        <w:pStyle w:val="ListNumber"/>
      </w:pPr>
      <w:r>
        <w:t>[6] https://doi.org/10.1371/journal.pone.0173664</w:t>
      </w:r>
    </w:p>
    <w:p>
      <w:pPr>
        <w:pStyle w:val="ListNumber"/>
      </w:pPr>
      <w:r>
        <w:t>[7] https://doi.org/10.1717/mcut6z84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