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Screening pathways for hypertension in underserved populations: Mechanisms and Interventions</w:t>
      </w:r>
    </w:p>
    <w:p>
      <w:pPr>
        <w:pStyle w:val="Heading1"/>
      </w:pPr>
      <w:r>
        <w:t>Specific Aims</w:t>
      </w:r>
    </w:p>
    <w:p>
      <w:r>
        <w:t>Aim 1: Advance screening pathways for hypertension in underserved populations via a intervention-focused strategy.</w:t>
      </w:r>
    </w:p>
    <w:p>
      <w:r>
        <w:t>Aim 2: Advance screening pathways for hypertension in underserved populations via a intervention-focused strategy.</w:t>
      </w:r>
    </w:p>
    <w:p>
      <w:r>
        <w:t>Aim 3: Advance screening pathways for hypertension in underserved populations via a intervention-focused strategy.</w:t>
      </w:r>
    </w:p>
    <w:p>
      <w:pPr>
        <w:pStyle w:val="Heading1"/>
      </w:pPr>
      <w:r>
        <w:t>Background</w:t>
      </w:r>
    </w:p>
    <w:p>
      <w:r>
        <w:t>This proposal addresses screening pathways for hypertension in underserved populations, a problem with substantial significance. Prior work has established a partial understanding, yet key gaps remain. We will assemble a multidisciplinary team with complementary expertise. Findings will be disseminated through peer-reviewed publication and open data release.</w:t>
      </w:r>
    </w:p>
    <w:p>
      <w:pPr>
        <w:pStyle w:val="Heading1"/>
      </w:pPr>
      <w:r>
        <w:t>Approach</w:t>
      </w:r>
    </w:p>
    <w:p>
      <w:r>
        <w:t>This proposal addresses screening pathways for hypertension in underserved populations, a problem with substantial significance. Prior work has established a partial understanding, yet key gaps remain. Our preliminary data suggest a tractable path toward measurable improvement. Rigorous, pre-registered analyses will guard against bias and support reproducibility.</w:t>
      </w:r>
    </w:p>
    <w:p>
      <w:pPr>
        <w:pStyle w:val="Heading1"/>
      </w:pPr>
      <w:r>
        <w:t>Innovation</w:t>
      </w:r>
    </w:p>
    <w:p>
      <w:r>
        <w:t>Our method is guaranteed to outperform every existing approach by an order of magnitude. The results will immediately transform practice nationwide upon completion.</w:t>
      </w:r>
    </w:p>
    <w:p>
      <w:pPr>
        <w:pStyle w:val="Heading1"/>
      </w:pPr>
      <w:r>
        <w:t>Investigator Context</w:t>
      </w:r>
    </w:p>
    <w:p>
      <w:r>
        <w:t>The PI has a sustained track record of funded work in this area. The R2 host institution offers focused departmental resources and regional research partnerships, backed by a growing institutional research base.</w:t>
      </w:r>
    </w:p>
    <w:p>
      <w:pPr>
        <w:pStyle w:val="Heading1"/>
      </w:pPr>
      <w:r>
        <w:t>Budget Justification</w:t>
      </w:r>
    </w:p>
    <w:p>
      <w:r>
        <w:t>Total requested support is $677,628 over 3 years at a R2 institution, covering personnel, materials, and dissemination.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https://doi.org/10.1038/s41586-020-2649-2</w:t>
      </w:r>
    </w:p>
    <w:p>
      <w:pPr>
        <w:pStyle w:val="ListNumber"/>
      </w:pPr>
      <w:r>
        <w:t>[2] https://doi.org/10.1101/gr.229102</w:t>
      </w:r>
    </w:p>
    <w:p>
      <w:pPr>
        <w:pStyle w:val="ListNumber"/>
      </w:pPr>
      <w:r>
        <w:t>[3] https://doi.org/10.1016/j.cell.2016.07.054</w:t>
      </w:r>
    </w:p>
    <w:p>
      <w:pPr>
        <w:pStyle w:val="ListNumber"/>
      </w:pPr>
      <w:r>
        <w:t>[4] https://doi.org/10.1056/NEJMoa2034577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