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 Policy Assessment of wastewater surveillance for early outbreak detection in cities</w:t>
      </w:r>
    </w:p>
    <w:p>
      <w:pPr>
        <w:pStyle w:val="Heading1"/>
      </w:pPr>
      <w:r>
        <w:t>Executive Summary</w:t>
      </w:r>
    </w:p>
    <w:p>
      <w:r>
        <w:t>Recent analysis points toward a tractable path forward. The evidence base is partial, and important gaps remain.</w:t>
      </w:r>
    </w:p>
    <w:p>
      <w:pPr>
        <w:pStyle w:val="Heading1"/>
      </w:pPr>
      <w:r>
        <w:t>Background</w:t>
      </w:r>
    </w:p>
    <w:p>
      <w:r>
        <w:t>The evidence base is partial, and important gaps remain. The discussion draws on established screening methods and current data. Careful framing guards against overstatement.</w:t>
      </w:r>
    </w:p>
    <w:p>
      <w:pPr>
        <w:pStyle w:val="Heading1"/>
      </w:pPr>
      <w:r>
        <w:t>Findings</w:t>
      </w:r>
    </w:p>
    <w:p>
      <w:r>
        <w:t>This is, without question, the definitive account of the issue. Practitioners and policymakers alike have a role to play here. The discussion draws on established screening methods and current data. This piece examines wastewater surveillance for early outbreak detection in cities, a question of growing public interest.</w:t>
      </w:r>
    </w:p>
    <w:p>
      <w:pPr>
        <w:pStyle w:val="Heading1"/>
      </w:pPr>
      <w:r>
        <w:t>Recommendations</w:t>
      </w:r>
    </w:p>
    <w:p>
      <w:r>
        <w:t>This piece examines wastewater surveillance for early outbreak detection in cities, a question of growing public interest. The evidence base is partial, and important gaps remain.</w:t>
      </w:r>
    </w:p>
    <w:p>
      <w:pPr>
        <w:pStyle w:val="Heading1"/>
      </w:pPr>
      <w:r>
        <w:t>Endnotes</w:t>
      </w:r>
    </w:p>
    <w:p>
      <w:pPr>
        <w:pStyle w:val="ListNumber"/>
      </w:pPr>
      <w:r>
        <w:t>[1] https://doi.org/10.1001/jama.2016.9797</w:t>
      </w:r>
    </w:p>
    <w:p>
      <w:pPr>
        <w:pStyle w:val="ListNumber"/>
      </w:pPr>
      <w:r>
        <w:t>[2] https://doi.org/10.1371/journal.pone.0173664</w:t>
      </w:r>
    </w:p>
    <w:p>
      <w:pPr>
        <w:pStyle w:val="ListNumber"/>
      </w:pPr>
      <w:r>
        <w:t>[3] https://doi.org/10.1371/journal.pone.0173664</w:t>
      </w:r>
    </w:p>
    <w:p>
      <w:pPr>
        <w:pStyle w:val="ListNumber"/>
      </w:pPr>
      <w:r>
        <w:t>[4] https://doi.org/10.1038/nature14539</w:t>
      </w:r>
    </w:p>
    <w:p>
      <w:pPr>
        <w:pStyle w:val="ListNumber"/>
      </w:pPr>
      <w:r>
        <w:t>[5] https://doi.org/10.1016/j.cell.2016.07.054</w:t>
      </w:r>
    </w:p>
    <w:p>
      <w:pPr>
        <w:pStyle w:val="ListNumber"/>
      </w:pPr>
      <w:r>
        <w:t>[6] https://doi.org/10.1289/ehp.1104477</w:t>
      </w:r>
    </w:p>
    <w:p>
      <w:pPr>
        <w:pStyle w:val="ListNumber"/>
      </w:pPr>
      <w:r>
        <w:t>[7] https://doi.org/10.1001/jama.2016.9797</w:t>
      </w:r>
    </w:p>
    <w:p>
      <w:pPr>
        <w:pStyle w:val="ListNumber"/>
      </w:pPr>
      <w:r>
        <w:t>[8] https://doi.org/10.1056/NEJMoa2034577</w:t>
      </w:r>
    </w:p>
    <w:p>
      <w:pPr>
        <w:pStyle w:val="ListNumber"/>
      </w:pPr>
      <w:r>
        <w:t>[9] https://doi.org/10.1101/gr.229102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