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Why early detection of pancreatic cancer using circulating tumor DNA Matters Now</w:t>
      </w:r>
    </w:p>
    <w:p>
      <w:pPr>
        <w:pStyle w:val="Heading1"/>
      </w:pPr>
      <w:r>
        <w:t>Dek</w:t>
      </w:r>
    </w:p>
    <w:p>
      <w:r>
        <w:t>What we know about early detection of pancreatic cancer using circulating tumor DNA, and what to watch [1].</w:t>
      </w:r>
    </w:p>
    <w:p>
      <w:pPr>
        <w:pStyle w:val="Heading1"/>
      </w:pPr>
      <w:r>
        <w:t>Intro</w:t>
      </w:r>
    </w:p>
    <w:p>
      <w:r>
        <w:t>The takeaways are meant to inform, not to prescribe [2]. The evidence base is partial, and important gaps remain [3]. Practitioners and policymakers alike have a role to play here [4].</w:t>
      </w:r>
    </w:p>
    <w:p>
      <w:pPr>
        <w:pStyle w:val="Heading1"/>
      </w:pPr>
      <w:r>
        <w:t>Body</w:t>
      </w:r>
    </w:p>
    <w:p>
      <w:r>
        <w:t>Practitioners and policymakers alike have a role to play here [5]. The present article considers early detection of pancreatic cancer using circulating tumor DNA, a question of growing public interest [6]. Recent analysis points toward a tractable path forward [7].</w:t>
      </w:r>
    </w:p>
    <w:p>
      <w:pPr>
        <w:pStyle w:val="Heading1"/>
      </w:pPr>
      <w:r>
        <w:t>Takeaway</w:t>
      </w:r>
    </w:p>
    <w:p>
      <w:r>
        <w:t>Careful framing guards against overstatement [8].</w:t>
      </w:r>
    </w:p>
    <w:p>
      <w:r>
        <w:t>As one source notes, “The approach integrates established core methods with a novel analytical pipeline.” [1]</w:t>
      </w:r>
    </w:p>
    <w:p>
      <w:pPr>
        <w:pStyle w:val="Heading1"/>
      </w:pPr>
      <w:r>
        <w:t>Sources</w:t>
      </w:r>
    </w:p>
    <w:p>
      <w:pPr>
        <w:pStyle w:val="ListNumber"/>
      </w:pPr>
      <w:r>
        <w:t>[1] https://doi.org/10.1371/journal.pone.0173664</w:t>
      </w:r>
    </w:p>
    <w:p>
      <w:pPr>
        <w:pStyle w:val="ListNumber"/>
      </w:pPr>
      <w:r>
        <w:t>[2] https://doi.org/10.1101/gr.229102</w:t>
      </w:r>
    </w:p>
    <w:p>
      <w:pPr>
        <w:pStyle w:val="ListNumber"/>
      </w:pPr>
      <w:r>
        <w:t>[3] https://doi.org/10.1109/TPAMI.2016.2577031</w:t>
      </w:r>
    </w:p>
    <w:p>
      <w:pPr>
        <w:pStyle w:val="ListNumber"/>
      </w:pPr>
      <w:r>
        <w:t>[4] https://doi.org/10.1002/anie.201907688</w:t>
      </w:r>
    </w:p>
    <w:p>
      <w:pPr>
        <w:pStyle w:val="ListNumber"/>
      </w:pPr>
      <w:r>
        <w:t>[5] https://doi.org/10.1021/jacs.9b02765</w:t>
      </w:r>
    </w:p>
    <w:p>
      <w:pPr>
        <w:pStyle w:val="ListNumber"/>
      </w:pPr>
      <w:r>
        <w:t>[6] https://doi.org/10.1038/nature14539</w:t>
      </w:r>
    </w:p>
    <w:p>
      <w:pPr>
        <w:pStyle w:val="ListNumber"/>
      </w:pPr>
      <w:r>
        <w:t>[7] https://doi.org/10.1093/nar/gky1055</w:t>
      </w:r>
    </w:p>
    <w:p>
      <w:pPr>
        <w:pStyle w:val="ListNumber"/>
      </w:pPr>
      <w:r>
        <w:t>[8] https://doi.org/10.1109/TPAMI.2016.2577031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