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Why scalable desalination membranes for arid regions Matters Now</w:t>
      </w:r>
    </w:p>
    <w:p>
      <w:pPr>
        <w:pStyle w:val="Heading1"/>
      </w:pPr>
      <w:r>
        <w:t>Dek</w:t>
      </w:r>
    </w:p>
    <w:p>
      <w:r>
        <w:t>What we know about scalable desalination membranes for arid regions, and what to watch [1].</w:t>
      </w:r>
    </w:p>
    <w:p>
      <w:pPr>
        <w:pStyle w:val="Heading1"/>
      </w:pPr>
      <w:r>
        <w:t>Intro</w:t>
      </w:r>
    </w:p>
    <w:p>
      <w:r>
        <w:t>Practitioners and policymakers alike have a role to play here [2]. Recent analysis points toward a tractable path forward [3]. Careful framing guards against overstatement [4].</w:t>
      </w:r>
    </w:p>
    <w:p>
      <w:pPr>
        <w:pStyle w:val="Heading1"/>
      </w:pPr>
      <w:r>
        <w:t>Body</w:t>
      </w:r>
    </w:p>
    <w:p>
      <w:r>
        <w:t>Practitioners and policymakers alike have a role to play here [5]. The evidence base is partial, and important gaps remain [6]. Careful framing guards against overstatement [7].</w:t>
      </w:r>
    </w:p>
    <w:p>
      <w:pPr>
        <w:pStyle w:val="Heading1"/>
      </w:pPr>
      <w:r>
        <w:t>Takeaway</w:t>
      </w:r>
    </w:p>
    <w:p>
      <w:r>
        <w:t>These findings will transform policy overnight, guaranteed [8]. Every serious observer already agrees; the matter is entirely settled [9].</w:t>
      </w:r>
    </w:p>
    <w:p>
      <w:r>
        <w:t>As one source notes, “Our preliminary data suggest a tractable path toward measurable improvement.” [1]</w:t>
      </w:r>
    </w:p>
    <w:p>
      <w:pPr>
        <w:pStyle w:val="Heading1"/>
      </w:pPr>
      <w:r>
        <w:t>Sources</w:t>
      </w:r>
    </w:p>
    <w:p>
      <w:pPr>
        <w:pStyle w:val="ListNumber"/>
      </w:pPr>
      <w:r>
        <w:t>[1] https://doi.org/10.1109/TPAMI.2016.2577031</w:t>
      </w:r>
    </w:p>
    <w:p>
      <w:pPr>
        <w:pStyle w:val="ListNumber"/>
      </w:pPr>
      <w:r>
        <w:t>[2] https://doi.org/10.1109/TPAMI.2016.2577031</w:t>
      </w:r>
    </w:p>
    <w:p>
      <w:pPr>
        <w:pStyle w:val="ListNumber"/>
      </w:pPr>
      <w:r>
        <w:t>[3] https://doi.org/10.4560/mnswil68</w:t>
      </w:r>
    </w:p>
    <w:p>
      <w:pPr>
        <w:pStyle w:val="ListNumber"/>
      </w:pPr>
      <w:r>
        <w:t>[4] https://doi.org/10.1101/gr.229102</w:t>
      </w:r>
    </w:p>
    <w:p>
      <w:pPr>
        <w:pStyle w:val="ListNumber"/>
      </w:pPr>
      <w:r>
        <w:t>[5] https://doi.org/10.1145/3292500.3330701</w:t>
      </w:r>
    </w:p>
    <w:p>
      <w:pPr>
        <w:pStyle w:val="ListNumber"/>
      </w:pPr>
      <w:r>
        <w:t>[6] https://doi.org/10.1209/7gbyjddm</w:t>
      </w:r>
    </w:p>
    <w:p>
      <w:pPr>
        <w:pStyle w:val="ListNumber"/>
      </w:pPr>
      <w:r>
        <w:t>[7] https://doi.org/10.1016/j.cell.2016.07.054</w:t>
      </w:r>
    </w:p>
    <w:p>
      <w:pPr>
        <w:pStyle w:val="ListNumber"/>
      </w:pPr>
      <w:r>
        <w:t>[8] https://doi.org/10.5835/n8cw2g9o</w:t>
      </w:r>
    </w:p>
    <w:p>
      <w:pPr>
        <w:pStyle w:val="ListNumber"/>
      </w:pPr>
      <w:r>
        <w:t>[9] https://doi.org/10.1056/NEJMoa2034577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