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Energy-efficient edge inference for implantable devices: Mechanisms and Interventions</w:t>
      </w:r>
    </w:p>
    <w:p>
      <w:pPr>
        <w:pStyle w:val="Heading1"/>
      </w:pPr>
      <w:r>
        <w:t>Specific Aims</w:t>
      </w:r>
    </w:p>
    <w:p>
      <w:r>
        <w:t>Aim 1: Advance energy-efficient edge inference for implantable devices via a fabrication-focused strategy [1].</w:t>
      </w:r>
    </w:p>
    <w:p>
      <w:r>
        <w:t>Aim 2: Advance energy-efficient edge inference for implantable devices via a fabrication-focused strategy [2].</w:t>
      </w:r>
    </w:p>
    <w:p>
      <w:r>
        <w:t>Aim 3: Advance energy-efficient edge inference for implantable devices via a fabrication-focused strategy [3].</w:t>
      </w:r>
    </w:p>
    <w:p>
      <w:pPr>
        <w:pStyle w:val="Heading1"/>
      </w:pPr>
      <w:r>
        <w:t>Background</w:t>
      </w:r>
    </w:p>
    <w:p>
      <w:r>
        <w:t>This proposal addresses energy-efficient edge inference for implantable devices, a problem with substantial significance [4]. Prior work has established a partial understanding, yet key gaps remain. We will assemble a multidisciplinary team with complementary expertise. Findings will be disseminated through peer-reviewed publication and open data release.</w:t>
      </w:r>
    </w:p>
    <w:p>
      <w:pPr>
        <w:pStyle w:val="Heading1"/>
      </w:pPr>
      <w:r>
        <w:t>Approach</w:t>
      </w:r>
    </w:p>
    <w:p>
      <w:r>
        <w:t>This proposal addresses energy-efficient edge inference for implantable devices, a problem with substantial significance. Prior work has established a partial understanding, yet key gaps remain. Our preliminary data suggest a tractable path toward measurable improvement. Rigorous, pre-registered analyses will guard against bias and support reproducibility.</w:t>
      </w:r>
    </w:p>
    <w:p>
      <w:pPr>
        <w:pStyle w:val="Heading1"/>
      </w:pPr>
      <w:r>
        <w:t>Innovation</w:t>
      </w:r>
    </w:p>
    <w:p>
      <w:r>
        <w:t>Findings will be disseminated through peer-reviewed publication and open data release.</w:t>
      </w:r>
    </w:p>
    <w:p>
      <w:pPr>
        <w:pStyle w:val="Heading1"/>
      </w:pPr>
      <w:r>
        <w:t>Investigator Context</w:t>
      </w:r>
    </w:p>
    <w:p>
      <w:r>
        <w:t>The PI's first independent award; strong mentorship is in place. The R2 host institution offers focused departmental resources and regional research partnerships, backed by a growing institutional research base.</w:t>
      </w:r>
    </w:p>
    <w:p>
      <w:pPr>
        <w:pStyle w:val="Heading1"/>
      </w:pPr>
      <w:r>
        <w:t>Budget Justification</w:t>
      </w:r>
    </w:p>
    <w:p>
      <w:r>
        <w:t>Budget: personnel $216,982; equipment $57,938; travel $15,751; indirect costs $45,726. Total requested support is $336,397 over 2 years at a R2 institution.</w:t>
      </w:r>
    </w:p>
    <w:p>
      <w:r>
        <w:t>As one source notes, “Prior work has established a partial understanding, yet key gaps remain.” [1]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https://doi.org/10.1056/NEJMoa2034577</w:t>
      </w:r>
    </w:p>
    <w:p>
      <w:pPr>
        <w:pStyle w:val="ListNumber"/>
      </w:pPr>
      <w:r>
        <w:t>[2] https://doi.org/10.1109/TPAMI.2016.2577031</w:t>
      </w:r>
    </w:p>
    <w:p>
      <w:pPr>
        <w:pStyle w:val="ListNumber"/>
      </w:pPr>
      <w:r>
        <w:t>[3] https://doi.org/10.1109/TPAMI.2016.2577031</w:t>
      </w:r>
    </w:p>
    <w:p>
      <w:pPr>
        <w:pStyle w:val="ListNumber"/>
      </w:pPr>
      <w:r>
        <w:t>[4] https://doi.org/10.1001/jama.2016.9797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