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Measuring the labor-market effects of remote work policy</w:t>
      </w:r>
    </w:p>
    <w:p>
      <w:pPr>
        <w:pStyle w:val="Heading1"/>
      </w:pPr>
      <w:r>
        <w:t>Specific Aims</w:t>
      </w:r>
    </w:p>
    <w:p>
      <w:r>
        <w:t>Aim 1: Advance measuring the labor-market effects of remote work policy via a field experiment-focused strategy [1].</w:t>
      </w:r>
    </w:p>
    <w:p>
      <w:r>
        <w:t>Aim 2: Advance measuring the labor-market effects of remote work policy via a field experiment-focused strategy [2].</w:t>
      </w:r>
    </w:p>
    <w:p>
      <w:r>
        <w:t>Aim 3: Advance measuring the labor-market effects of remote work policy via a field experiment-focused strategy [3].</w:t>
      </w:r>
    </w:p>
    <w:p>
      <w:pPr>
        <w:pStyle w:val="Heading1"/>
      </w:pPr>
      <w:r>
        <w:t>Background</w:t>
      </w:r>
    </w:p>
    <w:p>
      <w:r>
        <w:t>The approach integrates established field experiment methods with a novel analytical pipeline [4]. Our preliminary data suggest a tractable path toward measurable improvement [5]. This proposal addresses measuring the labor-market effects of remote work policy, a problem with substantial significance [6]. We will assemble a multidisciplinary team with complementary expertise [7].</w:t>
      </w:r>
    </w:p>
    <w:p>
      <w:pPr>
        <w:pStyle w:val="Heading1"/>
      </w:pPr>
      <w:r>
        <w:t>Approach</w:t>
      </w:r>
    </w:p>
    <w:p>
      <w:r>
        <w:t>Findings will be disseminated through peer-reviewed publication and open data release [8]. The approach integrates established field experiment methods with a novel analytical pipeline [9]. Prior work has established a partial understanding, yet key gaps remain. Our preliminary data suggest a tractable path toward measurable improvement.</w:t>
      </w:r>
    </w:p>
    <w:p>
      <w:pPr>
        <w:pStyle w:val="Heading1"/>
      </w:pPr>
      <w:r>
        <w:t>Innovation</w:t>
      </w:r>
    </w:p>
    <w:p>
      <w:r>
        <w:t>Prior work has established a partial understanding, yet key gaps remain.</w:t>
      </w:r>
    </w:p>
    <w:p>
      <w:pPr>
        <w:pStyle w:val="Heading1"/>
      </w:pPr>
      <w:r>
        <w:t>Investigator Context</w:t>
      </w:r>
    </w:p>
    <w:p>
      <w:r>
        <w:t>Two co-equal PIs contribute complementary methods under joint leadership. The R2 host institution offers focused departmental resources and regional research partnerships, backed by a growing institutional research base.</w:t>
      </w:r>
    </w:p>
    <w:p>
      <w:pPr>
        <w:pStyle w:val="Heading1"/>
      </w:pPr>
      <w:r>
        <w:t>Budget Justification</w:t>
      </w:r>
    </w:p>
    <w:p>
      <w:r>
        <w:t>Budget: personnel $265,462; equipment $95,223; travel $8,779; indirect costs $59,937. Total requested support is $429,401 over 3 years at a R2 institution.</w:t>
      </w:r>
    </w:p>
    <w:p>
      <w:r>
        <w:t>As one source notes, “Findings will be disseminated through peer-reviewed publication and open data release.” [1]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https://doi.org/10.1038/s41586-020-2649-2</w:t>
      </w:r>
    </w:p>
    <w:p>
      <w:pPr>
        <w:pStyle w:val="ListNumber"/>
      </w:pPr>
      <w:r>
        <w:t>[2] https://doi.org/10.1073/pnas.1517384113</w:t>
      </w:r>
    </w:p>
    <w:p>
      <w:pPr>
        <w:pStyle w:val="ListNumber"/>
      </w:pPr>
      <w:r>
        <w:t>[3] https://doi.org/10.7274/jlc90oup</w:t>
      </w:r>
    </w:p>
    <w:p>
      <w:pPr>
        <w:pStyle w:val="ListNumber"/>
      </w:pPr>
      <w:r>
        <w:t>[4] https://doi.org/10.1001/jama.2016.9797</w:t>
      </w:r>
    </w:p>
    <w:p>
      <w:pPr>
        <w:pStyle w:val="ListNumber"/>
      </w:pPr>
      <w:r>
        <w:t>[5] https://doi.org/10.1038/nature14539</w:t>
      </w:r>
    </w:p>
    <w:p>
      <w:pPr>
        <w:pStyle w:val="ListNumber"/>
      </w:pPr>
      <w:r>
        <w:t>[6] https://doi.org/10.1862/lo7cze3s</w:t>
      </w:r>
    </w:p>
    <w:p>
      <w:pPr>
        <w:pStyle w:val="ListNumber"/>
      </w:pPr>
      <w:r>
        <w:t>[7] https://doi.org/10.1001/jama.2016.9797</w:t>
      </w:r>
    </w:p>
    <w:p>
      <w:pPr>
        <w:pStyle w:val="ListNumber"/>
      </w:pPr>
      <w:r>
        <w:t>[8] https://doi.org/10.1038/s41586-020-2649-2</w:t>
      </w:r>
    </w:p>
    <w:p>
      <w:pPr>
        <w:pStyle w:val="ListNumber"/>
      </w:pPr>
      <w:r>
        <w:t>[9] https://doi.org/10.5979/p3x5m8pj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