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Screening pathways for hypertension in underserved populations: A Multidisciplinary Research Program</w:t>
      </w:r>
    </w:p>
    <w:p>
      <w:pPr>
        <w:pStyle w:val="Heading1"/>
      </w:pPr>
      <w:r>
        <w:t>Specific Aims</w:t>
      </w:r>
    </w:p>
    <w:p>
      <w:r>
        <w:t>Aim 1: Advance screening pathways for hypertension in underserved populations via a intervention-focused strategy [1].</w:t>
      </w:r>
    </w:p>
    <w:p>
      <w:r>
        <w:t>Aim 2: Advance screening pathways for hypertension in underserved populations via a intervention-focused strategy [2].</w:t>
      </w:r>
    </w:p>
    <w:p>
      <w:r>
        <w:t>Aim 3: Advance screening pathways for hypertension in underserved populations via a intervention-focused strategy [3].</w:t>
      </w:r>
    </w:p>
    <w:p>
      <w:pPr>
        <w:pStyle w:val="Heading1"/>
      </w:pPr>
      <w:r>
        <w:t>Background</w:t>
      </w:r>
    </w:p>
    <w:p>
      <w:r>
        <w:t>Findings will be disseminated through peer-reviewed publication and open data release [4]. Rigorous, pre-registered analyses will guard against bias and support reproducibility [5]. This proposal addresses screening pathways for hypertension in underserved populations, a problem with substantial significance [6]. We will assemble a multidisciplinary team with complementary expertise [7].</w:t>
      </w:r>
    </w:p>
    <w:p>
      <w:pPr>
        <w:pStyle w:val="Heading1"/>
      </w:pPr>
      <w:r>
        <w:t>Approach</w:t>
      </w:r>
    </w:p>
    <w:p>
      <w:r>
        <w:t>Rigorous, pre-registered analyses will guard against bias and support reproducibility. We will assemble a multidisciplinary team with complementary expertise. Prior work has established a partial understanding, yet key gaps remain. Our preliminary data suggest a tractable path toward measurable improvement.</w:t>
      </w:r>
    </w:p>
    <w:p>
      <w:pPr>
        <w:pStyle w:val="Heading1"/>
      </w:pPr>
      <w:r>
        <w:t>Innovation</w:t>
      </w:r>
    </w:p>
    <w:p>
      <w:r>
        <w:t>Our method is guaranteed to outperform every existing approach by an order of magnitude. The results will immediately transform practice nationwide upon completion.</w:t>
      </w:r>
    </w:p>
    <w:p>
      <w:pPr>
        <w:pStyle w:val="Heading1"/>
      </w:pPr>
      <w:r>
        <w:t>Investigator Context</w:t>
      </w:r>
    </w:p>
    <w:p>
      <w:r>
        <w:t>Two co-equal PIs contribute complementary methods under joint leadership. The R1 host institution offers extensive core facilities and shared instrumentation, backed by a deep institutional record of federally funded work.</w:t>
      </w:r>
    </w:p>
    <w:p>
      <w:pPr>
        <w:pStyle w:val="Heading1"/>
      </w:pPr>
      <w:r>
        <w:t>Budget Justification</w:t>
      </w:r>
    </w:p>
    <w:p>
      <w:r>
        <w:t>Budget: personnel $726,017; equipment $113,747; travel $18,865; indirect costs $133,425. Total requested support is $992,054 over 5 years at a R1 institution.</w:t>
      </w:r>
    </w:p>
    <w:p>
      <w:r>
        <w:t>As one source notes, “We will assemble a multidisciplinary team with complementary expertise.” [1]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https://doi.org/10.1038/nature14539</w:t>
      </w:r>
    </w:p>
    <w:p>
      <w:pPr>
        <w:pStyle w:val="ListNumber"/>
      </w:pPr>
      <w:r>
        <w:t>[2] https://doi.org/10.1109/TPAMI.2016.2577031</w:t>
      </w:r>
    </w:p>
    <w:p>
      <w:pPr>
        <w:pStyle w:val="ListNumber"/>
      </w:pPr>
      <w:r>
        <w:t>[3] https://doi.org/10.1021/jacs.9b02765</w:t>
      </w:r>
    </w:p>
    <w:p>
      <w:pPr>
        <w:pStyle w:val="ListNumber"/>
      </w:pPr>
      <w:r>
        <w:t>[4] https://doi.org/10.1038/s41586-020-2649-2</w:t>
      </w:r>
    </w:p>
    <w:p>
      <w:pPr>
        <w:pStyle w:val="ListNumber"/>
      </w:pPr>
      <w:r>
        <w:t>[5] https://doi.org/10.1101/gr.229102</w:t>
      </w:r>
    </w:p>
    <w:p>
      <w:pPr>
        <w:pStyle w:val="ListNumber"/>
      </w:pPr>
      <w:r>
        <w:t>[6] https://doi.org/10.1145/3292500.3330701</w:t>
      </w:r>
    </w:p>
    <w:p>
      <w:pPr>
        <w:pStyle w:val="ListNumber"/>
      </w:pPr>
      <w:r>
        <w:t>[7] https://doi.org/10.1073/pnas.1517384113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