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for protein structure prediction in drug discovery: Evidence and Options</w:t>
      </w:r>
    </w:p>
    <w:p>
      <w:pPr>
        <w:pStyle w:val="Heading1"/>
      </w:pPr>
      <w:r>
        <w:t>Executive Summary</w:t>
      </w:r>
    </w:p>
    <w:p>
      <w:r>
        <w:t>The discussion draws on established simulation methods and current data [1]. This piece examines machine learning for protein structure prediction in drug discovery, a question of growing public interest [2].</w:t>
      </w:r>
    </w:p>
    <w:p>
      <w:pPr>
        <w:pStyle w:val="Heading1"/>
      </w:pPr>
      <w:r>
        <w:t>Background</w:t>
      </w:r>
    </w:p>
    <w:p>
      <w:r>
        <w:t>Careful framing guards against overstatement [3]. The takeaways are meant to inform, not to prescribe [4]. The discussion draws on established simulation methods and current data [5].</w:t>
      </w:r>
    </w:p>
    <w:p>
      <w:pPr>
        <w:pStyle w:val="Heading1"/>
      </w:pPr>
      <w:r>
        <w:t>Findings</w:t>
      </w:r>
    </w:p>
    <w:p>
      <w:r>
        <w:t>This is, without question, the definitive account of the issue [6]. Recent analysis points toward a tractable path forward [7]. Practitioners and policymakers alike have a role to play here. This piece examines machine learning for protein structure prediction in drug discovery, a question of growing public interest.</w:t>
      </w:r>
    </w:p>
    <w:p>
      <w:pPr>
        <w:pStyle w:val="Heading1"/>
      </w:pPr>
      <w:r>
        <w:t>Recommendations</w:t>
      </w:r>
    </w:p>
    <w:p>
      <w:r>
        <w:t>Practitioners and policymakers alike have a role to play here. The takeaways are meant to inform, not to prescribe.</w:t>
      </w:r>
    </w:p>
    <w:p>
      <w:r>
        <w:t>As one source notes, “This proposal addresses the target problem, a problem with substantial significance.” [1]</w:t>
      </w:r>
    </w:p>
    <w:p>
      <w:pPr>
        <w:pStyle w:val="Heading1"/>
      </w:pPr>
      <w:r>
        <w:t>Endnotes</w:t>
      </w:r>
    </w:p>
    <w:p>
      <w:pPr>
        <w:pStyle w:val="ListNumber"/>
      </w:pPr>
      <w:r>
        <w:t>[1] https://doi.org/10.1371/journal.pone.0173664</w:t>
      </w:r>
    </w:p>
    <w:p>
      <w:pPr>
        <w:pStyle w:val="ListNumber"/>
      </w:pPr>
      <w:r>
        <w:t>[2] https://doi.org/10.3430/eir9uy7s</w:t>
      </w:r>
    </w:p>
    <w:p>
      <w:pPr>
        <w:pStyle w:val="ListNumber"/>
      </w:pPr>
      <w:r>
        <w:t>[3] https://doi.org/10.1056/NEJMoa2034577</w:t>
      </w:r>
    </w:p>
    <w:p>
      <w:pPr>
        <w:pStyle w:val="ListNumber"/>
      </w:pPr>
      <w:r>
        <w:t>[4] https://doi.org/10.4743/0v3z0gu1</w:t>
      </w:r>
    </w:p>
    <w:p>
      <w:pPr>
        <w:pStyle w:val="ListNumber"/>
      </w:pPr>
      <w:r>
        <w:t>[5] https://doi.org/10.1001/jama.2016.9797</w:t>
      </w:r>
    </w:p>
    <w:p>
      <w:pPr>
        <w:pStyle w:val="ListNumber"/>
      </w:pPr>
      <w:r>
        <w:t>[6] https://doi.org/10.1126/science.1259855</w:t>
      </w:r>
    </w:p>
    <w:p>
      <w:pPr>
        <w:pStyle w:val="ListNumber"/>
      </w:pPr>
      <w:r>
        <w:t>[7] https://doi.org/10.7105/i9d99vh0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