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behavioral economics of retirement savings among gig workers Matters Now</w:t>
      </w:r>
    </w:p>
    <w:p>
      <w:pPr>
        <w:pStyle w:val="Heading1"/>
      </w:pPr>
      <w:r>
        <w:t>Dek</w:t>
      </w:r>
    </w:p>
    <w:p>
      <w:r>
        <w:t>What we know about behavioral economics of retirement savings among gig workers, and what to watch [1] [9].</w:t>
      </w:r>
    </w:p>
    <w:p>
      <w:pPr>
        <w:pStyle w:val="Heading1"/>
      </w:pPr>
      <w:r>
        <w:t>Intro</w:t>
      </w:r>
    </w:p>
    <w:p>
      <w:r>
        <w:t>This piece examines behavioral economics of retirement savings among gig workers, a question of growing public interest [2]. Careful framing guards against overstatement [3]. Practitioners and policymakers alike have a role to play here [4].</w:t>
      </w:r>
    </w:p>
    <w:p>
      <w:pPr>
        <w:pStyle w:val="Heading1"/>
      </w:pPr>
      <w:r>
        <w:t>Body</w:t>
      </w:r>
    </w:p>
    <w:p>
      <w:r>
        <w:t>The takeaways are meant to inform, not to prescribe [5]. Recent analysis points toward a tractable path forward [6]. The discussion draws on established population methods and current data [7].</w:t>
      </w:r>
    </w:p>
    <w:p>
      <w:pPr>
        <w:pStyle w:val="Heading1"/>
      </w:pPr>
      <w:r>
        <w:t>Takeaway</w:t>
      </w:r>
    </w:p>
    <w:p>
      <w:r>
        <w:t>This piece examines behavioral economics of retirement savings among gig workers, a question of growing public interest [8].</w:t>
      </w:r>
    </w:p>
    <w:p>
      <w:r>
        <w:t>As one source notes, “This proposal addresses the target problem, a problem with substantial significance.” [1]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https://doi.org/10.1021/jacs.9b02765</w:t>
      </w:r>
    </w:p>
    <w:p>
      <w:pPr>
        <w:pStyle w:val="ListNumber"/>
      </w:pPr>
      <w:r>
        <w:t>[2] https://doi.org/10.1002/anie.201907688</w:t>
      </w:r>
    </w:p>
    <w:p>
      <w:pPr>
        <w:pStyle w:val="ListNumber"/>
      </w:pPr>
      <w:r>
        <w:t>[3] https://doi.org/10.1289/ehp.1104477</w:t>
      </w:r>
    </w:p>
    <w:p>
      <w:pPr>
        <w:pStyle w:val="ListNumber"/>
      </w:pPr>
      <w:r>
        <w:t>[4] https://doi.org/10.1056/NEJMoa2034577</w:t>
      </w:r>
    </w:p>
    <w:p>
      <w:pPr>
        <w:pStyle w:val="ListNumber"/>
      </w:pPr>
      <w:r>
        <w:t>[5] https://doi.org/10.1073/pnas.1517384113</w:t>
      </w:r>
    </w:p>
    <w:p>
      <w:pPr>
        <w:pStyle w:val="ListNumber"/>
      </w:pPr>
      <w:r>
        <w:t>[6] https://doi.org/10.1001/jama.2016.9797</w:t>
      </w:r>
    </w:p>
    <w:p>
      <w:pPr>
        <w:pStyle w:val="ListNumber"/>
      </w:pPr>
      <w:r>
        <w:t>[7] https://doi.org/10.1056/NEJMoa2034577</w:t>
      </w:r>
    </w:p>
    <w:p>
      <w:pPr>
        <w:pStyle w:val="ListNumber"/>
      </w:pPr>
      <w:r>
        <w:t>[8] https://doi.org/10.1056/NEJMoa2034577</w:t>
      </w:r>
    </w:p>
    <w:p>
      <w:pPr>
        <w:pStyle w:val="ListNumber"/>
      </w:pPr>
      <w:r>
        <w:t>[9] https://doi.org/10.1038/s41586-020-2649-2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