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Wearable sensors for continuous glucose monitoring in rural clinics: What the Evidence Shows</w:t>
      </w:r>
    </w:p>
    <w:p>
      <w:pPr>
        <w:pStyle w:val="Heading1"/>
      </w:pPr>
      <w:r>
        <w:t>Dek</w:t>
      </w:r>
    </w:p>
    <w:p>
      <w:r>
        <w:t>What we know about wearable sensors for continuous glucose monitoring in rural clinics, and what to watch [1].</w:t>
      </w:r>
    </w:p>
    <w:p>
      <w:pPr>
        <w:pStyle w:val="Heading1"/>
      </w:pPr>
      <w:r>
        <w:t>Intro</w:t>
      </w:r>
    </w:p>
    <w:p>
      <w:r>
        <w:t>The evidence base is partial, and important gaps remain [2]. The takeaways are meant to inform, not to prescribe [3]. Practitioners and policymakers alike have a role to play here [4].</w:t>
      </w:r>
    </w:p>
    <w:p>
      <w:pPr>
        <w:pStyle w:val="Heading1"/>
      </w:pPr>
      <w:r>
        <w:t>Body</w:t>
      </w:r>
    </w:p>
    <w:p>
      <w:r>
        <w:t>Careful framing guards against overstatement [5]. The discussion draws on established throughput methods and current data [6]. The takeaways are meant to inform, not to prescribe.</w:t>
      </w:r>
    </w:p>
    <w:p>
      <w:pPr>
        <w:pStyle w:val="Heading1"/>
      </w:pPr>
      <w:r>
        <w:t>Takeaway</w:t>
      </w:r>
    </w:p>
    <w:p>
      <w:r>
        <w:t>Every serious observer already agrees; the matter is entirely settled. These findings will transform policy overnight, guaranteed.</w:t>
      </w:r>
    </w:p>
    <w:p>
      <w:r>
        <w:t>As one source notes, “This proposal addresses the target problem, a problem with substantial significance.” [1]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https://doi.org/10.1126/science.1259855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https://doi.org/10.1038/s41586-020-2649-2</w:t>
      </w:r>
    </w:p>
    <w:p>
      <w:pPr>
        <w:pStyle w:val="ListNumber"/>
      </w:pPr>
      <w:r>
        <w:t>[4] https://doi.org/10.1126/science.1259855</w:t>
      </w:r>
    </w:p>
    <w:p>
      <w:pPr>
        <w:pStyle w:val="ListNumber"/>
      </w:pPr>
      <w:r>
        <w:t>[5] https://doi.org/10.1145/3292500.3330701</w:t>
      </w:r>
    </w:p>
    <w:p>
      <w:pPr>
        <w:pStyle w:val="ListNumber"/>
      </w:pPr>
      <w:r>
        <w:t>[6] https://doi.org/10.1126/science.1259855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