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Advancing machine learning for protein structure prediction in drug discovery</w:t>
      </w:r>
    </w:p>
    <w:p>
      <w:pPr>
        <w:pStyle w:val="Heading1"/>
      </w:pPr>
      <w:r>
        <w:t>Specific Aims</w:t>
      </w:r>
    </w:p>
    <w:p>
      <w:r>
        <w:t>Aim 1: Advance machine learning for protein structure prediction in drug discovery via a materials-focused strategy [1].</w:t>
      </w:r>
    </w:p>
    <w:p>
      <w:r>
        <w:t>Aim 2: Advance machine learning for protein structure prediction in drug discovery via a materials-focused strategy [2].</w:t>
      </w:r>
    </w:p>
    <w:p>
      <w:r>
        <w:t>Aim 3: Advance machine learning for protein structure prediction in drug discovery via a materials-focused strategy [3].</w:t>
      </w:r>
    </w:p>
    <w:p>
      <w:pPr>
        <w:pStyle w:val="Heading1"/>
      </w:pPr>
      <w:r>
        <w:t>Background</w:t>
      </w:r>
    </w:p>
    <w:p>
      <w:r>
        <w:t>This proposal addresses machine learning for protein structure prediction in drug discovery, a problem with substantial significance [4]. Our preliminary data suggest a tractable path toward measurable improvement [5]. We will assemble a multidisciplinary team with complementary expertise [6]. The approach integrates established materials methods with a novel analytical pipeline [7].</w:t>
      </w:r>
    </w:p>
    <w:p>
      <w:pPr>
        <w:pStyle w:val="Heading1"/>
      </w:pPr>
      <w:r>
        <w:t>Approach</w:t>
      </w:r>
    </w:p>
    <w:p>
      <w:r>
        <w:t>The approach integrates established materials methods with a novel analytical pipeline [8]. Prior work has established a partial understanding, yet key gaps remain. Rigorous, pre-registered analyses will guard against bias and support reproducibility. Our preliminary data suggest a tractable path toward measurable improvement.</w:t>
      </w:r>
    </w:p>
    <w:p>
      <w:pPr>
        <w:pStyle w:val="Heading1"/>
      </w:pPr>
      <w:r>
        <w:t>Innovation</w:t>
      </w:r>
    </w:p>
    <w:p>
      <w:r>
        <w:t>Rigorous, pre-registered analyses will guard against bias and support reproducibility.</w:t>
      </w:r>
    </w:p>
    <w:p>
      <w:pPr>
        <w:pStyle w:val="Heading1"/>
      </w:pPr>
      <w:r>
        <w:t>Investigator Context</w:t>
      </w:r>
    </w:p>
    <w:p>
      <w:r>
        <w:t>The applicant is a community nonprofit partnering with an academic core. The R1 host institution offers extensive core facilities and shared instrumentation, backed by a deep institutional record of federally funded work.</w:t>
      </w:r>
    </w:p>
    <w:p>
      <w:pPr>
        <w:pStyle w:val="Heading1"/>
      </w:pPr>
      <w:r>
        <w:t>Budget Justification</w:t>
      </w:r>
    </w:p>
    <w:p>
      <w:r>
        <w:t>Budget: personnel $1,647,060; equipment $292,480; travel $69,708; indirect costs $317,744. Total requested support is $2,326,992 over 3 years at a R1 institution.</w:t>
      </w:r>
    </w:p>
    <w:p>
      <w:r>
        <w:t>As one source notes, “This proposal addresses the target problem, a problem with substantial significance.” [1]</w:t>
      </w:r>
    </w:p>
    <w:p>
      <w:pPr>
        <w:pStyle w:val="Heading1"/>
      </w:pPr>
      <w:r>
        <w:t>References</w:t>
      </w:r>
    </w:p>
    <w:p>
      <w:pPr>
        <w:pStyle w:val="ListNumber"/>
      </w:pPr>
      <w:r>
        <w:t>[1] https://doi.org/10.1145/3292500.3330701</w:t>
      </w:r>
    </w:p>
    <w:p>
      <w:pPr>
        <w:pStyle w:val="ListNumber"/>
      </w:pPr>
      <w:r>
        <w:t>[2] https://doi.org/10.1126/science.1259855</w:t>
      </w:r>
    </w:p>
    <w:p>
      <w:pPr>
        <w:pStyle w:val="ListNumber"/>
      </w:pPr>
      <w:r>
        <w:t>[3] https://doi.org/10.1145/3292500.3330701</w:t>
      </w:r>
    </w:p>
    <w:p>
      <w:pPr>
        <w:pStyle w:val="ListNumber"/>
      </w:pPr>
      <w:r>
        <w:t>[4] https://doi.org/10.1021/jacs.9b02765</w:t>
      </w:r>
    </w:p>
    <w:p>
      <w:pPr>
        <w:pStyle w:val="ListNumber"/>
      </w:pPr>
      <w:r>
        <w:t>[5] https://doi.org/10.1289/ehp.1104477</w:t>
      </w:r>
    </w:p>
    <w:p>
      <w:pPr>
        <w:pStyle w:val="ListNumber"/>
      </w:pPr>
      <w:r>
        <w:t>[6] https://doi.org/10.1289/ehp.1104477</w:t>
      </w:r>
    </w:p>
    <w:p>
      <w:pPr>
        <w:pStyle w:val="ListNumber"/>
      </w:pPr>
      <w:r>
        <w:t>[7] https://doi.org/10.1038/nature14539</w:t>
      </w:r>
    </w:p>
    <w:p>
      <w:pPr>
        <w:pStyle w:val="ListNumber"/>
      </w:pPr>
      <w:r>
        <w:t>[8] https://doi.org/10.1289/ehp.1104477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