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Community-based interventions to reduce childhood asthma disparities: A Multidisciplinary Research Program</w:t>
      </w:r>
    </w:p>
    <w:p>
      <w:pPr>
        <w:pStyle w:val="Heading1"/>
      </w:pPr>
      <w:r>
        <w:t>Specific Aims</w:t>
      </w:r>
    </w:p>
    <w:p>
      <w:r>
        <w:t>Aim 1: Advance community-based interventions to reduce childhood asthma disparities via a community-focused strategy [1].</w:t>
      </w:r>
    </w:p>
    <w:p>
      <w:r>
        <w:t>Aim 2: Advance community-based interventions to reduce childhood asthma disparities via a community-focused strategy [2].</w:t>
      </w:r>
    </w:p>
    <w:p>
      <w:pPr>
        <w:pStyle w:val="Heading1"/>
      </w:pPr>
      <w:r>
        <w:t>Background</w:t>
      </w:r>
    </w:p>
    <w:p>
      <w:r>
        <w:t>This proposal addresses community-based interventions to reduce childhood asthma disparities, a problem with substantial significance [3]. Prior work has established a partial understanding, yet key gaps remain [4]. The approach integrates established community methods with a novel analytical pipeline [5]. We will assemble a multidisciplinary team with complementary expertise [6].</w:t>
      </w:r>
    </w:p>
    <w:p>
      <w:pPr>
        <w:pStyle w:val="Heading1"/>
      </w:pPr>
      <w:r>
        <w:t>Approach</w:t>
      </w:r>
    </w:p>
    <w:p>
      <w:r>
        <w:t>We will use appropriate methods to achieve the aims [7].</w:t>
      </w:r>
    </w:p>
    <w:p>
      <w:pPr>
        <w:pStyle w:val="Heading1"/>
      </w:pPr>
      <w:r>
        <w:t>Innovation</w:t>
      </w:r>
    </w:p>
    <w:p>
      <w:r>
        <w:t>Our preliminary data suggest a tractable path toward measurable improvement.</w:t>
      </w:r>
    </w:p>
    <w:p>
      <w:pPr>
        <w:pStyle w:val="Heading1"/>
      </w:pPr>
      <w:r>
        <w:t>Investigator Context</w:t>
      </w:r>
    </w:p>
    <w:p>
      <w:r>
        <w:t>The PI has a sustained track record of funded work in this area.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Budget: personnel $617,941; equipment $103,588; travel $20,833; indirect costs $116,413. Total requested support is $858,775 over 3 years at a R1 institution.</w:t>
      </w:r>
    </w:p>
    <w:p>
      <w:r>
        <w:t>As one source notes, “The approach integrates established core methods with a novel analytical pipeline.” [1]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https://doi.org/10.1109/TPAMI.2016.2577031</w:t>
      </w:r>
    </w:p>
    <w:p>
      <w:pPr>
        <w:pStyle w:val="ListNumber"/>
      </w:pPr>
      <w:r>
        <w:t>[2] https://doi.org/10.1038/s41586-020-2649-2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https://doi.org/10.1021/jacs.9b02765</w:t>
      </w:r>
    </w:p>
    <w:p>
      <w:pPr>
        <w:pStyle w:val="ListNumber"/>
      </w:pPr>
      <w:r>
        <w:t>[5] https://doi.org/10.1002/anie.201907688</w:t>
      </w:r>
    </w:p>
    <w:p>
      <w:pPr>
        <w:pStyle w:val="ListNumber"/>
      </w:pPr>
      <w:r>
        <w:t>[6] https://doi.org/10.1126/science.1259855</w:t>
      </w:r>
    </w:p>
    <w:p>
      <w:pPr>
        <w:pStyle w:val="ListNumber"/>
      </w:pPr>
      <w:r>
        <w:t>[7] https://doi.org/10.1073/pnas.1517384113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