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Room-temperature quantum sensing for magnetic imaging: A Multidisciplinary Research Program</w:t>
      </w:r>
    </w:p>
    <w:p>
      <w:pPr>
        <w:pStyle w:val="Heading1"/>
      </w:pPr>
      <w:r>
        <w:t>Specific Aims</w:t>
      </w:r>
    </w:p>
    <w:p>
      <w:r>
        <w:t>Aim 1: Advance room-temperature quantum sensing for magnetic imaging via a spectroscopy-focused strategy [1].</w:t>
      </w:r>
    </w:p>
    <w:p>
      <w:r>
        <w:t>Aim 2: Advance room-temperature quantum sensing for magnetic imaging via a spectroscopy-focused strategy [2].</w:t>
      </w:r>
    </w:p>
    <w:p>
      <w:pPr>
        <w:pStyle w:val="Heading1"/>
      </w:pPr>
      <w:r>
        <w:t>Background</w:t>
      </w:r>
    </w:p>
    <w:p>
      <w:r>
        <w:t>The approach integrates established spectroscopy methods with a novel analytical pipeline [3]. Prior work has established a partial understanding, yet key gaps remain [4]. Rigorous, pre-registered analyses will guard against bias and support reproducibility [5]. Our preliminary data suggest a tractable path toward measurable improvement.</w:t>
      </w:r>
    </w:p>
    <w:p>
      <w:pPr>
        <w:pStyle w:val="Heading1"/>
      </w:pPr>
      <w:r>
        <w:t>Approach</w:t>
      </w:r>
    </w:p>
    <w:p>
      <w:r>
        <w:t>Findings will be disseminated through peer-reviewed publication and open data release. Prior work has established a partial understanding, yet key gaps remain. The approach integrates established spectroscopy methods with a novel analytical pipeline. This proposal addresses room-temperature quantum sensing for magnetic imaging, a problem with substantial significance.</w:t>
      </w:r>
    </w:p>
    <w:p>
      <w:pPr>
        <w:pStyle w:val="Heading1"/>
      </w:pPr>
      <w:r>
        <w:t>Innovation</w:t>
      </w:r>
    </w:p>
    <w:p>
      <w:r>
        <w:t>Our preliminary data suggest a tractable path toward measurable improvement.</w:t>
      </w:r>
    </w:p>
    <w:p>
      <w:pPr>
        <w:pStyle w:val="Heading1"/>
      </w:pPr>
      <w:r>
        <w:t>Investigator Context</w:t>
      </w:r>
    </w:p>
    <w:p>
      <w:r>
        <w:t>The applicant is a community nonprofit partnering with an academic core. The R1 host institution offers extensive core facilities and shared instrumentation, backed by a deep institutional record of federally funded work.</w:t>
      </w:r>
    </w:p>
    <w:p>
      <w:pPr>
        <w:pStyle w:val="Heading1"/>
      </w:pPr>
      <w:r>
        <w:t>Budget Justification</w:t>
      </w:r>
    </w:p>
    <w:p>
      <w:r>
        <w:t>Budget: personnel $426,114; equipment $90,807; travel $13,213; indirect costs $134,662. Total requested support is $664,796 over 3 years at a R1 institution.</w:t>
      </w:r>
    </w:p>
    <w:p>
      <w:r>
        <w:t>As one source notes, “Our preliminary data suggest a tractable path toward measurable improvement.” [1]</w:t>
      </w:r>
    </w:p>
    <w:p>
      <w:pPr>
        <w:pStyle w:val="Heading1"/>
      </w:pPr>
      <w:r>
        <w:t>References</w:t>
      </w:r>
    </w:p>
    <w:p>
      <w:pPr>
        <w:pStyle w:val="ListNumber"/>
      </w:pPr>
      <w:r>
        <w:t>[1] https://doi.org/10.1021/jacs.9b02765</w:t>
      </w:r>
    </w:p>
    <w:p>
      <w:pPr>
        <w:pStyle w:val="ListNumber"/>
      </w:pPr>
      <w:r>
        <w:t>[2] https://doi.org/10.1073/pnas.1517384113</w:t>
      </w:r>
    </w:p>
    <w:p>
      <w:pPr>
        <w:pStyle w:val="ListNumber"/>
      </w:pPr>
      <w:r>
        <w:t>[3] https://doi.org/10.1016/j.cell.2016.07.054</w:t>
      </w:r>
    </w:p>
    <w:p>
      <w:pPr>
        <w:pStyle w:val="ListNumber"/>
      </w:pPr>
      <w:r>
        <w:t>[4] https://doi.org/10.1126/science.1259855</w:t>
      </w:r>
    </w:p>
    <w:p>
      <w:pPr>
        <w:pStyle w:val="ListNumber"/>
      </w:pPr>
      <w:r>
        <w:t>[5] https://doi.org/10.1109/TPAMI.2016.2577031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