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workforce pathways into the semiconductor manufacturing sector Matters Now</w:t>
      </w:r>
    </w:p>
    <w:p>
      <w:pPr>
        <w:pStyle w:val="Heading1"/>
      </w:pPr>
      <w:r>
        <w:t>Dek</w:t>
      </w:r>
    </w:p>
    <w:p>
      <w:r>
        <w:t>What we know about workforce pathways into the semiconductor manufacturing sector, and what to watch.</w:t>
      </w:r>
    </w:p>
    <w:p>
      <w:pPr>
        <w:pStyle w:val="Heading1"/>
      </w:pPr>
      <w:r>
        <w:t>Intro</w:t>
      </w:r>
    </w:p>
    <w:p>
      <w:r>
        <w:t>The evidence base is partial, and important gaps remain. The takeaways are meant to inform, not to prescribe. Careful framing guards against overstatement.</w:t>
      </w:r>
    </w:p>
    <w:p>
      <w:pPr>
        <w:pStyle w:val="Heading1"/>
      </w:pPr>
      <w:r>
        <w:t>Body</w:t>
      </w:r>
    </w:p>
    <w:p>
      <w:r>
        <w:t>The takeaways are meant to inform, not to prescribe. Practitioners and policymakers alike have a role to play here. This piece examines workforce pathways into the semiconductor manufacturing sector, a question of growing public interest.</w:t>
      </w:r>
    </w:p>
    <w:p>
      <w:pPr>
        <w:pStyle w:val="Heading1"/>
      </w:pPr>
      <w:r>
        <w:t>Takeaway</w:t>
      </w:r>
    </w:p>
    <w:p>
      <w:r>
        <w:t>Recent analysis points toward a tractable path forward.</w:t>
      </w:r>
    </w:p>
    <w:p>
      <w:pPr>
        <w:pStyle w:val="Heading1"/>
      </w:pPr>
      <w:r>
        <w:t>Sources</w:t>
      </w:r>
    </w:p>
    <w:p>
      <w:pPr>
        <w:pStyle w:val="ListNumber"/>
      </w:pPr>
      <w:r>
        <w:t>[1] https://doi.org/10.1371/journal.pone.0173664</w:t>
      </w:r>
    </w:p>
    <w:p>
      <w:pPr>
        <w:pStyle w:val="ListNumber"/>
      </w:pPr>
      <w:r>
        <w:t>[2] https://doi.org/10.1016/j.cell.2016.07.054</w:t>
      </w:r>
    </w:p>
    <w:p>
      <w:pPr>
        <w:pStyle w:val="ListNumber"/>
      </w:pPr>
      <w:r>
        <w:t>[3] https://doi.org/10.1126/science.1259855</w:t>
      </w:r>
    </w:p>
    <w:p>
      <w:pPr>
        <w:pStyle w:val="ListNumber"/>
      </w:pPr>
      <w:r>
        <w:t>[4] https://doi.org/10.1101/gr.229102</w:t>
      </w:r>
    </w:p>
    <w:p>
      <w:pPr>
        <w:pStyle w:val="ListNumber"/>
      </w:pPr>
      <w:r>
        <w:t>[5] https://doi.org/10.1056/NEJMoa2034577</w:t>
      </w:r>
    </w:p>
    <w:p>
      <w:pPr>
        <w:pStyle w:val="ListNumber"/>
      </w:pPr>
      <w:r>
        <w:t>[6] https://doi.org/10.1038/nature14539</w:t>
      </w:r>
    </w:p>
    <w:p>
      <w:pPr>
        <w:pStyle w:val="ListNumber"/>
      </w:pPr>
      <w:r>
        <w:t>[7] https://doi.org/10.1001/jama.2016.9797</w:t>
      </w:r>
    </w:p>
    <w:p>
      <w:pPr>
        <w:pStyle w:val="ListNumber"/>
      </w:pPr>
      <w:r>
        <w:t>[8] https://doi.org/10.1371/journal.pone.0173664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