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Scalable desalination membranes for arid regions: What the Evidence Shows</w:t>
      </w:r>
    </w:p>
    <w:p>
      <w:pPr>
        <w:pStyle w:val="Heading1"/>
      </w:pPr>
      <w:r>
        <w:t>Dek</w:t>
      </w:r>
    </w:p>
    <w:p>
      <w:r>
        <w:t>What we know about scalable desalination membranes for arid regions, and what to watch.</w:t>
      </w:r>
    </w:p>
    <w:p>
      <w:pPr>
        <w:pStyle w:val="Heading1"/>
      </w:pPr>
      <w:r>
        <w:t>Intro</w:t>
      </w:r>
    </w:p>
    <w:p>
      <w:r>
        <w:t>The discussion draws on established fabrication methods and current data. The evidence base is partial, and important gaps remain. Practitioners and policymakers alike have a role to play here.</w:t>
      </w:r>
    </w:p>
    <w:p>
      <w:pPr>
        <w:pStyle w:val="Heading1"/>
      </w:pPr>
      <w:r>
        <w:t>Body</w:t>
      </w:r>
    </w:p>
    <w:p>
      <w:r>
        <w:t>This piece examines scalable desalination membranes for arid regions, a question of growing public interest. Careful framing guards against overstatement. The evidence base is partial, and important gaps remain.</w:t>
      </w:r>
    </w:p>
    <w:p>
      <w:pPr>
        <w:pStyle w:val="Heading1"/>
      </w:pPr>
      <w:r>
        <w:t>Takeaway</w:t>
      </w:r>
    </w:p>
    <w:p>
      <w:r>
        <w:t>Recent analysis points toward a tractable path forward.</w:t>
      </w:r>
    </w:p>
    <w:p>
      <w:pPr>
        <w:pStyle w:val="Heading1"/>
      </w:pPr>
      <w:r>
        <w:t>Sources</w:t>
      </w:r>
    </w:p>
    <w:p>
      <w:pPr>
        <w:pStyle w:val="ListNumber"/>
      </w:pPr>
      <w:r>
        <w:t>[1] https://doi.org/10.1371/journal.pone.0173664</w:t>
      </w:r>
    </w:p>
    <w:p>
      <w:pPr>
        <w:pStyle w:val="ListNumber"/>
      </w:pPr>
      <w:r>
        <w:t>[2] https://doi.org/10.1021/jacs.9b02765</w:t>
      </w:r>
    </w:p>
    <w:p>
      <w:pPr>
        <w:pStyle w:val="ListNumber"/>
      </w:pPr>
      <w:r>
        <w:t>[3] https://doi.org/10.1073/pnas.1517384113</w:t>
      </w:r>
    </w:p>
    <w:p>
      <w:pPr>
        <w:pStyle w:val="ListNumber"/>
      </w:pPr>
      <w:r>
        <w:t>[4] https://doi.org/10.1101/gr.229102</w:t>
      </w:r>
    </w:p>
    <w:p>
      <w:pPr>
        <w:pStyle w:val="ListNumber"/>
      </w:pPr>
      <w:r>
        <w:t>[5] https://doi.org/10.1038/nature14539</w:t>
      </w:r>
    </w:p>
    <w:p>
      <w:pPr>
        <w:pStyle w:val="ListNumber"/>
      </w:pPr>
      <w:r>
        <w:t>[6] https://doi.org/10.1038/nature14539</w:t>
      </w:r>
    </w:p>
    <w:p>
      <w:pPr>
        <w:pStyle w:val="ListNumber"/>
      </w:pPr>
      <w:r>
        <w:t>[7] https://doi.org/10.1001/jama.2016.9797</w:t>
      </w:r>
    </w:p>
    <w:p>
      <w:pPr>
        <w:pStyle w:val="ListNumber"/>
      </w:pPr>
      <w:r>
        <w:t>[8] https://doi.org/10.1093/nar/gky1055</w:t>
      </w:r>
    </w:p>
    <w:p>
      <w:pPr>
        <w:pStyle w:val="ListNumber"/>
      </w:pPr>
      <w:r>
        <w:t>[9] https://doi.org/10.1021/jacs.9b02765</w:t>
      </w:r>
    </w:p>
    <w:p>
      <w:pPr>
        <w:pStyle w:val="ListNumber"/>
      </w:pPr>
      <w:r>
        <w:t>[10] https://doi.org/10.1145/3292500.3330701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