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Toward community-based interventions to reduce childhood asthma disparities</w:t>
      </w:r>
    </w:p>
    <w:p>
      <w:pPr>
        <w:pStyle w:val="Heading1"/>
      </w:pPr>
      <w:r>
        <w:t>Specific Aims</w:t>
      </w:r>
    </w:p>
    <w:p>
      <w:r>
        <w:t>Aim 1: Advance community-based interventions to reduce childhood asthma disparities via a intervention-focused strategy.</w:t>
      </w:r>
    </w:p>
    <w:p>
      <w:r>
        <w:t>Aim 2: Advance community-based interventions to reduce childhood asthma disparities via a intervention-focused strategy.</w:t>
      </w:r>
    </w:p>
    <w:p>
      <w:r>
        <w:t>Aim 3: Advance community-based interventions to reduce childhood asthma disparities via a intervention-focused strategy.</w:t>
      </w:r>
    </w:p>
    <w:p>
      <w:pPr>
        <w:pStyle w:val="Heading1"/>
      </w:pPr>
      <w:r>
        <w:t>Background</w:t>
      </w:r>
    </w:p>
    <w:p>
      <w:r>
        <w:t>This proposal addresses community-based interventions to reduce childhood asthma disparities, a problem with substantial significance. We will assemble a multidisciplinary team with complementary expertise. The approach integrates established intervention methods with a novel analytical pipeline. Prior work has established a partial understanding, yet key gaps remain.</w:t>
      </w:r>
    </w:p>
    <w:p>
      <w:pPr>
        <w:pStyle w:val="Heading1"/>
      </w:pPr>
      <w:r>
        <w:t>Approach</w:t>
      </w:r>
    </w:p>
    <w:p>
      <w:r>
        <w:t>Our preliminary data suggest a tractable path toward measurable improvement. Prior work has established a partial understanding, yet key gaps remain. Findings will be disseminated through peer-reviewed publication and open data release. This proposal addresses community-based interventions to reduce childhood asthma disparities, a problem with substantial significance.</w:t>
      </w:r>
    </w:p>
    <w:p>
      <w:pPr>
        <w:pStyle w:val="Heading1"/>
      </w:pPr>
      <w:r>
        <w:t>Innovation</w:t>
      </w:r>
    </w:p>
    <w:p>
      <w:r>
        <w:t>The approach integrates established intervention methods with a novel analytical pipeline.</w:t>
      </w:r>
    </w:p>
    <w:p>
      <w:pPr>
        <w:pStyle w:val="Heading1"/>
      </w:pPr>
      <w:r>
        <w:t>Investigator Context</w:t>
      </w:r>
    </w:p>
    <w:p>
      <w:r>
        <w:t>Two co-equal PIs contribute complementary methods under joint leadership. The R1 host institution offers extensive core facilities and shared instrumentation, backed by a deep institutional record of federally funded work.</w:t>
      </w:r>
    </w:p>
    <w:p>
      <w:pPr>
        <w:pStyle w:val="Heading1"/>
      </w:pPr>
      <w:r>
        <w:t>Budget Justification</w:t>
      </w:r>
    </w:p>
    <w:p>
      <w:r>
        <w:t>Total requested support is $8,534,320 over 5 years at a R1 institution, covering personnel, materials, and dissemination.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https://doi.org/10.1038/s41586-020-2649-2</w:t>
      </w:r>
    </w:p>
    <w:p>
      <w:pPr>
        <w:pStyle w:val="ListNumber"/>
      </w:pPr>
      <w:r>
        <w:t>[2] https://doi.org/10.1038/s41586-020-2649-2</w:t>
      </w:r>
    </w:p>
    <w:p>
      <w:pPr>
        <w:pStyle w:val="ListNumber"/>
      </w:pPr>
      <w:r>
        <w:t>[3] https://doi.org/10.1001/jama.2016.9797</w:t>
      </w:r>
    </w:p>
    <w:p>
      <w:pPr>
        <w:pStyle w:val="ListNumber"/>
      </w:pPr>
      <w:r>
        <w:t>[4] https://doi.org/10.1016/j.cell.2016.07.054</w:t>
      </w:r>
    </w:p>
    <w:p>
      <w:pPr>
        <w:pStyle w:val="ListNumber"/>
      </w:pPr>
      <w:r>
        <w:t>[5] https://doi.org/10.1002/anie.201907688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