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Case for Rethinking behavioral economics of retirement savings among gig workers</w:t>
      </w:r>
    </w:p>
    <w:p>
      <w:pPr>
        <w:pStyle w:val="Heading1"/>
      </w:pPr>
      <w:r>
        <w:t>Dek</w:t>
      </w:r>
    </w:p>
    <w:p>
      <w:r>
        <w:t>What we know about behavioral economics of retirement savings among gig workers, and what to watch.</w:t>
      </w:r>
    </w:p>
    <w:p>
      <w:pPr>
        <w:pStyle w:val="Heading1"/>
      </w:pPr>
      <w:r>
        <w:t>Intro</w:t>
      </w:r>
    </w:p>
    <w:p>
      <w:r>
        <w:t>Recent analysis points toward a tractable path forward. Careful framing guards against overstatement. The takeaways are meant to inform, not to prescribe.</w:t>
      </w:r>
    </w:p>
    <w:p>
      <w:pPr>
        <w:pStyle w:val="Heading1"/>
      </w:pPr>
      <w:r>
        <w:t>Body</w:t>
      </w:r>
    </w:p>
    <w:p>
      <w:r>
        <w:t>Practitioners and policymakers alike have a role to play here. The evidence base is partial, and important gaps remain. The takeaways are meant to inform, not to prescribe.</w:t>
      </w:r>
    </w:p>
    <w:p>
      <w:pPr>
        <w:pStyle w:val="Heading1"/>
      </w:pPr>
      <w:r>
        <w:t>Takeaway</w:t>
      </w:r>
    </w:p>
    <w:p>
      <w:r>
        <w:t>Every serious observer already agrees; the matter is entirely settled. The conclusions here are beyond dispute and settle the debate for good.</w:t>
      </w:r>
    </w:p>
    <w:p>
      <w:pPr>
        <w:pStyle w:val="Heading1"/>
      </w:pPr>
      <w:r>
        <w:t>Sources</w:t>
      </w:r>
    </w:p>
    <w:p>
      <w:pPr>
        <w:pStyle w:val="ListNumber"/>
      </w:pPr>
      <w:r>
        <w:t>[1] https://doi.org/10.1016/j.cell.2016.07.054</w:t>
      </w:r>
    </w:p>
    <w:p>
      <w:pPr>
        <w:pStyle w:val="ListNumber"/>
      </w:pPr>
      <w:r>
        <w:t>[2] https://doi.org/10.3353/uuwzix69</w:t>
      </w:r>
    </w:p>
    <w:p>
      <w:pPr>
        <w:pStyle w:val="ListNumber"/>
      </w:pPr>
      <w:r>
        <w:t>[3] https://doi.org/10.8642/hr2pjgds</w:t>
      </w:r>
    </w:p>
    <w:p>
      <w:pPr>
        <w:pStyle w:val="ListNumber"/>
      </w:pPr>
      <w:r>
        <w:t>[4] https://doi.org/10.1056/NEJMoa2034577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