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Policy Assessment of early detection of pancreatic cancer using circulating tumor DNA</w:t>
      </w:r>
    </w:p>
    <w:p>
      <w:pPr>
        <w:pStyle w:val="Heading1"/>
      </w:pPr>
      <w:r>
        <w:t>Executive Summary</w:t>
      </w:r>
    </w:p>
    <w:p>
      <w:r>
        <w:t>The evidence base is partial, and important gaps remain. Recent analysis points toward a tractable path forward.</w:t>
      </w:r>
    </w:p>
    <w:p>
      <w:pPr>
        <w:pStyle w:val="Heading1"/>
      </w:pPr>
      <w:r>
        <w:t>Background</w:t>
      </w:r>
    </w:p>
    <w:p>
      <w:r>
        <w:t>This piece examines early detection of pancreatic cancer using circulating tumor DNA, a question of growing public interest. Practitioners and policymakers alike have a role to play here. Recent analysis points toward a tractable path forward.</w:t>
      </w:r>
    </w:p>
    <w:p>
      <w:pPr>
        <w:pStyle w:val="Heading1"/>
      </w:pPr>
      <w:r>
        <w:t>Findings</w:t>
      </w:r>
    </w:p>
    <w:p>
      <w:r>
        <w:t>The takeaways are meant to inform, not to prescribe. The discussion draws on established mechanistic methods and current data. Practitioners and policymakers alike have a role to play here.</w:t>
      </w:r>
    </w:p>
    <w:p>
      <w:pPr>
        <w:pStyle w:val="Heading1"/>
      </w:pPr>
      <w:r>
        <w:t>Recommendations</w:t>
      </w:r>
    </w:p>
    <w:p>
      <w:r>
        <w:t>The takeaways are meant to inform, not to prescribe. Recent analysis points toward a tractable path forward.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https://doi.org/10.1021/jacs.9b02765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https://doi.org/10.1016/j.cell.2016.07.054</w:t>
      </w:r>
    </w:p>
    <w:p>
      <w:pPr>
        <w:pStyle w:val="ListNumber"/>
      </w:pPr>
      <w:r>
        <w:t>[4] https://doi.org/10.1371/journal.pone.0173664</w:t>
      </w:r>
    </w:p>
    <w:p>
      <w:pPr>
        <w:pStyle w:val="ListNumber"/>
      </w:pPr>
      <w:r>
        <w:t>[5] https://doi.org/10.1001/jama.2016.9797</w:t>
      </w:r>
    </w:p>
    <w:p>
      <w:pPr>
        <w:pStyle w:val="ListNumber"/>
      </w:pPr>
      <w:r>
        <w:t>[6] https://doi.org/10.1002/anie.201907688</w:t>
      </w:r>
    </w:p>
    <w:p>
      <w:pPr>
        <w:pStyle w:val="ListNumber"/>
      </w:pPr>
      <w:r>
        <w:t>[7] https://doi.org/10.1109/TPAMI.2016.2577031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