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15E7154" w14:textId="1BB0DE5D" w:rsidR="009303D9" w:rsidRDefault="008E15DF" w:rsidP="006347CF">
      <w:pPr>
        <w:pStyle w:val="papertitle"/>
        <w:spacing w:before="5pt" w:beforeAutospacing="1" w:after="5pt" w:afterAutospacing="1"/>
      </w:pPr>
      <w:r>
        <w:t xml:space="preserve">Automated BESS Assessment for Balance Compromised Patients </w:t>
      </w:r>
    </w:p>
    <w:p w14:paraId="67EAA7BF" w14:textId="6858EADA" w:rsidR="009303D9" w:rsidRPr="008E15DF" w:rsidRDefault="009303D9" w:rsidP="008E15DF">
      <w:pPr>
        <w:pStyle w:val="Author"/>
        <w:spacing w:before="5pt" w:beforeAutospacing="1" w:after="5pt" w:afterAutospacing="1"/>
        <w:jc w:val="both"/>
        <w:rPr>
          <w:sz w:val="16"/>
          <w:szCs w:val="16"/>
        </w:rPr>
        <w:sectPr w:rsidR="009303D9" w:rsidRPr="008E15DF">
          <w:footerReference w:type="first" r:id="rId8"/>
          <w:type w:val="continuous"/>
          <w:pgSz w:w="612pt" w:h="792pt" w:code="1"/>
          <w:pgMar w:top="54pt" w:right="44.65pt" w:bottom="72pt" w:left="44.65pt" w:header="36pt" w:footer="36pt" w:gutter="0pt"/>
          <w:cols w:space="36pt"/>
          <w:docGrid w:linePitch="360"/>
        </w:sectPr>
      </w:pPr>
    </w:p>
    <w:p w14:paraId="7EEE7CB7" w14:textId="4E055F41" w:rsidR="008E15DF" w:rsidRPr="008E15DF" w:rsidRDefault="008E15DF" w:rsidP="008E15DF">
      <w:pPr>
        <w:pStyle w:val="Author"/>
        <w:spacing w:before="0pt" w:after="0pt"/>
        <w:rPr>
          <w:sz w:val="18"/>
          <w:szCs w:val="18"/>
        </w:rPr>
      </w:pPr>
      <w:r w:rsidRPr="008E15DF">
        <w:rPr>
          <w:sz w:val="18"/>
          <w:szCs w:val="18"/>
        </w:rPr>
        <w:t>Nada Abdelwahab</w:t>
      </w:r>
    </w:p>
    <w:p w14:paraId="1DB90A16" w14:textId="7221A020" w:rsidR="006347CF" w:rsidRPr="008E15DF" w:rsidRDefault="008E15DF" w:rsidP="008E15DF">
      <w:pPr>
        <w:pStyle w:val="Author"/>
        <w:spacing w:before="0pt" w:after="0pt"/>
        <w:rPr>
          <w:i/>
          <w:iCs/>
          <w:sz w:val="18"/>
          <w:szCs w:val="18"/>
        </w:rPr>
      </w:pPr>
      <w:r w:rsidRPr="008E15DF">
        <w:rPr>
          <w:i/>
          <w:iCs/>
          <w:sz w:val="18"/>
          <w:szCs w:val="18"/>
        </w:rPr>
        <w:t xml:space="preserve">Department of </w:t>
      </w:r>
      <w:r>
        <w:rPr>
          <w:i/>
          <w:iCs/>
          <w:sz w:val="18"/>
          <w:szCs w:val="18"/>
        </w:rPr>
        <w:t xml:space="preserve">Electrical and Computer </w:t>
      </w:r>
      <w:r w:rsidRPr="008E15DF">
        <w:rPr>
          <w:i/>
          <w:iCs/>
          <w:sz w:val="18"/>
          <w:szCs w:val="18"/>
        </w:rPr>
        <w:t>Engineering</w:t>
      </w:r>
    </w:p>
    <w:p w14:paraId="7150B0C2" w14:textId="7C2AD9D6" w:rsidR="008E15DF" w:rsidRPr="008E15DF" w:rsidRDefault="008E15DF" w:rsidP="008E15DF">
      <w:pPr>
        <w:pStyle w:val="Author"/>
        <w:spacing w:before="0pt" w:after="0pt"/>
        <w:rPr>
          <w:i/>
          <w:iCs/>
          <w:sz w:val="18"/>
          <w:szCs w:val="18"/>
        </w:rPr>
      </w:pPr>
      <w:r w:rsidRPr="008E15DF">
        <w:rPr>
          <w:i/>
          <w:iCs/>
          <w:sz w:val="18"/>
          <w:szCs w:val="18"/>
        </w:rPr>
        <w:t>University of Ottawa</w:t>
      </w:r>
    </w:p>
    <w:p w14:paraId="42928A16" w14:textId="48FE2492" w:rsidR="008E15DF" w:rsidRPr="008E15DF" w:rsidRDefault="008E15DF" w:rsidP="008E15DF">
      <w:pPr>
        <w:pStyle w:val="Author"/>
        <w:spacing w:before="0pt" w:after="0pt"/>
        <w:rPr>
          <w:sz w:val="18"/>
          <w:szCs w:val="18"/>
        </w:rPr>
      </w:pPr>
      <w:r w:rsidRPr="008E15DF">
        <w:rPr>
          <w:sz w:val="18"/>
          <w:szCs w:val="18"/>
        </w:rPr>
        <w:t>Ottawa, C</w:t>
      </w:r>
      <w:r>
        <w:rPr>
          <w:sz w:val="18"/>
          <w:szCs w:val="18"/>
        </w:rPr>
        <w:t>anada</w:t>
      </w:r>
    </w:p>
    <w:p w14:paraId="3328F57E" w14:textId="0BB6F6B8" w:rsidR="008E15DF" w:rsidRPr="008E15DF" w:rsidRDefault="008E15DF" w:rsidP="008E15DF">
      <w:pPr>
        <w:pStyle w:val="Author"/>
        <w:spacing w:before="0pt" w:after="0pt"/>
        <w:rPr>
          <w:sz w:val="18"/>
          <w:szCs w:val="18"/>
        </w:rPr>
      </w:pPr>
      <w:r>
        <w:rPr>
          <w:sz w:val="18"/>
          <w:szCs w:val="18"/>
        </w:rPr>
        <w:t>n</w:t>
      </w:r>
      <w:r w:rsidRPr="008E15DF">
        <w:rPr>
          <w:sz w:val="18"/>
          <w:szCs w:val="18"/>
        </w:rPr>
        <w:t>abde016@uottawa.ca</w:t>
      </w:r>
    </w:p>
    <w:p w14:paraId="421006F9" w14:textId="77777777" w:rsidR="008E15DF" w:rsidRDefault="008E15DF" w:rsidP="008E15DF">
      <w:pPr>
        <w:pStyle w:val="Author"/>
        <w:spacing w:before="5pt" w:beforeAutospacing="1"/>
        <w:jc w:val="both"/>
        <w:rPr>
          <w:sz w:val="18"/>
          <w:szCs w:val="18"/>
        </w:rPr>
      </w:pPr>
    </w:p>
    <w:p w14:paraId="289ADF40" w14:textId="76A4D2F6" w:rsidR="008E15DF" w:rsidRPr="008E15DF" w:rsidRDefault="008E15DF" w:rsidP="008E15DF">
      <w:pPr>
        <w:pStyle w:val="Author"/>
        <w:spacing w:before="5pt" w:beforeAutospacing="1"/>
        <w:jc w:val="both"/>
        <w:rPr>
          <w:sz w:val="18"/>
          <w:szCs w:val="18"/>
        </w:rPr>
        <w:sectPr w:rsidR="008E15DF" w:rsidRPr="008E15DF" w:rsidSect="008E15DF">
          <w:type w:val="continuous"/>
          <w:pgSz w:w="612pt" w:h="792pt" w:code="1"/>
          <w:pgMar w:top="54pt" w:right="44.65pt" w:bottom="72pt" w:left="44.65pt" w:header="36pt" w:footer="36pt" w:gutter="0pt"/>
          <w:cols w:space="10.80pt"/>
          <w:docGrid w:linePitch="360"/>
        </w:sectPr>
      </w:pPr>
    </w:p>
    <w:p w14:paraId="5873548B" w14:textId="7E2CAD59" w:rsidR="004D72B5" w:rsidRDefault="009303D9" w:rsidP="00972203">
      <w:pPr>
        <w:pStyle w:val="Abstract"/>
        <w:rPr>
          <w:i/>
          <w:iCs/>
        </w:rPr>
      </w:pPr>
      <w:r>
        <w:rPr>
          <w:i/>
          <w:iCs/>
        </w:rPr>
        <w:t>Abstract</w:t>
      </w:r>
      <w:r>
        <w:t>—</w:t>
      </w:r>
      <w:r w:rsidR="008E15DF">
        <w:t xml:space="preserve">The Balance </w:t>
      </w:r>
      <w:r w:rsidR="008E15DF">
        <w:rPr>
          <w:iCs/>
        </w:rPr>
        <w:t xml:space="preserve">Error Scoring System (BESS) is a scoring system counting the errors committed during a balance test. </w:t>
      </w:r>
      <w:r w:rsidR="002B165E">
        <w:rPr>
          <w:iCs/>
        </w:rPr>
        <w:t>Pose landmark-based video estimation can be a viable and efficient method to calculate the BESS score, avoiding human subjective variability in scores from physician to physician. The results of the video estimation application show comparable outcomes to human assessment.</w:t>
      </w:r>
    </w:p>
    <w:p w14:paraId="5B7F3E79" w14:textId="189E6174" w:rsidR="009303D9" w:rsidRPr="004D72B5" w:rsidRDefault="004D72B5" w:rsidP="00972203">
      <w:pPr>
        <w:pStyle w:val="Keywords"/>
      </w:pPr>
      <w:r w:rsidRPr="004D72B5">
        <w:t>Keywords—</w:t>
      </w:r>
      <w:r w:rsidR="002B165E">
        <w:t>balance error scoring system, video-based motion analysis, pose estimation, digital balance assessment.</w:t>
      </w:r>
    </w:p>
    <w:p w14:paraId="3B8C89F7" w14:textId="37F8C716" w:rsidR="009303D9" w:rsidRPr="00D632BE" w:rsidRDefault="009303D9" w:rsidP="006B6B66">
      <w:pPr>
        <w:pStyle w:val="Heading1"/>
      </w:pPr>
      <w:r w:rsidRPr="00D632BE">
        <w:t>Introduction</w:t>
      </w:r>
    </w:p>
    <w:p w14:paraId="5884E5EF" w14:textId="20124BCC" w:rsidR="002B165E" w:rsidRDefault="002B165E" w:rsidP="001203F5">
      <w:pPr>
        <w:pStyle w:val="BodyText"/>
      </w:pPr>
      <w:r>
        <w:rPr>
          <w:lang w:val="en-US"/>
        </w:rPr>
        <w:t xml:space="preserve">During routine assessment of balance-impaired patients, </w:t>
      </w:r>
      <w:r>
        <w:t xml:space="preserve">the Balance Error Scoring System (BESS) is frequently used as a benchmark method of assessing performance on balance tests. BESS counts the number of errors the patient commits during a balance test. The </w:t>
      </w:r>
      <w:r w:rsidR="001203F5">
        <w:t>test consists of 3 stages, each timed for 20 seconds. The stages are:</w:t>
      </w:r>
    </w:p>
    <w:p w14:paraId="0F3C0D79" w14:textId="2EAFA4AE" w:rsidR="001203F5" w:rsidRDefault="001203F5" w:rsidP="001203F5">
      <w:pPr>
        <w:pStyle w:val="BodyText"/>
        <w:numPr>
          <w:ilvl w:val="0"/>
          <w:numId w:val="26"/>
        </w:numPr>
      </w:pPr>
      <w:r>
        <w:t>Stand with feet together, hands on hips, with eyes closed.</w:t>
      </w:r>
    </w:p>
    <w:p w14:paraId="6D5738AC" w14:textId="46112EA4" w:rsidR="001203F5" w:rsidRDefault="001203F5" w:rsidP="001203F5">
      <w:pPr>
        <w:pStyle w:val="BodyText"/>
        <w:numPr>
          <w:ilvl w:val="0"/>
          <w:numId w:val="26"/>
        </w:numPr>
      </w:pPr>
      <w:r>
        <w:t>Stand on the non-dominant leg, with the dominant leg raised at 45 degrees at hip, with knee rotated 90 degrees, with hands on hips and eyes closed.</w:t>
      </w:r>
    </w:p>
    <w:p w14:paraId="0AA9EDCC" w14:textId="272F7D76" w:rsidR="001203F5" w:rsidRDefault="001203F5" w:rsidP="001203F5">
      <w:pPr>
        <w:pStyle w:val="BodyText"/>
        <w:numPr>
          <w:ilvl w:val="0"/>
          <w:numId w:val="26"/>
        </w:numPr>
      </w:pPr>
      <w:r>
        <w:t>Stand with the toes of the non-dominant leg touching the heel of the dominant leg. With hands at hips and eyes closed.</w:t>
      </w:r>
    </w:p>
    <w:p w14:paraId="0E6CDEB4" w14:textId="5A39DDFB" w:rsidR="001203F5" w:rsidRDefault="001203F5" w:rsidP="001203F5">
      <w:pPr>
        <w:pStyle w:val="BodyText"/>
        <w:ind w:firstLine="0pt"/>
      </w:pPr>
      <w:r>
        <w:t>The possible errors include: opening eyes at any time; staying out of the pose for over 5 seconds; swaying; etc. During the test, the number of each error as well as the duration of the error are recorded, and at the end, the score is totaled as the final output of the test.</w:t>
      </w:r>
    </w:p>
    <w:p w14:paraId="7147A270" w14:textId="7220C0B0" w:rsidR="001203F5" w:rsidRPr="005B520E" w:rsidRDefault="001203F5" w:rsidP="001203F5">
      <w:pPr>
        <w:pStyle w:val="BodyText"/>
        <w:ind w:firstLine="0pt"/>
      </w:pPr>
      <w:r>
        <w:tab/>
        <w:t xml:space="preserve">A problem with administering the BESS test is that errors can be hard to keep track of simultaneously, and durations may overlap, or some physicians may consider some swaying as significant, while other physicians may not consider it significant. This is the motivation behind automating the BESS test to minimize variability in interpretation and to make the </w:t>
      </w:r>
    </w:p>
    <w:p w14:paraId="1A292821" w14:textId="77777777" w:rsidR="009303D9" w:rsidRPr="006B6B66" w:rsidRDefault="009303D9" w:rsidP="006B6B66">
      <w:pPr>
        <w:pStyle w:val="Heading1"/>
      </w:pPr>
      <w:r w:rsidRPr="006B6B66">
        <w:t>Ease of Use</w:t>
      </w:r>
    </w:p>
    <w:p w14:paraId="37F54AB0" w14:textId="77777777" w:rsidR="009303D9" w:rsidRDefault="009303D9" w:rsidP="00ED0149">
      <w:pPr>
        <w:pStyle w:val="Heading2"/>
      </w:pPr>
      <w:r>
        <w:t xml:space="preserve">Selecting a </w:t>
      </w:r>
      <w:r w:rsidRPr="00F271DE">
        <w:t>Template</w:t>
      </w:r>
      <w:r>
        <w:t xml:space="preserve"> (Heading 2)</w:t>
      </w:r>
    </w:p>
    <w:p w14:paraId="583F0D77"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05F46BAB" w14:textId="77777777" w:rsidR="006347CF" w:rsidRPr="005B520E" w:rsidRDefault="006347CF" w:rsidP="00E7596C">
      <w:pPr>
        <w:pStyle w:val="BodyText"/>
      </w:pPr>
    </w:p>
    <w:p w14:paraId="0CD34602" w14:textId="77777777" w:rsidR="009303D9" w:rsidRPr="005B520E" w:rsidRDefault="009303D9" w:rsidP="00ED0149">
      <w:pPr>
        <w:pStyle w:val="Heading2"/>
      </w:pPr>
      <w:r w:rsidRPr="005B520E">
        <w:t>Maintaining the Integrity of the Specifications</w:t>
      </w:r>
    </w:p>
    <w:p w14:paraId="203167C3"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2665DB0"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C24E51B" w14:textId="77777777" w:rsidR="009303D9" w:rsidRDefault="009303D9" w:rsidP="006B6B66">
      <w:pPr>
        <w:pStyle w:val="Heading1"/>
      </w:pPr>
      <w:r>
        <w:t xml:space="preserve">Prepare Your Paper </w:t>
      </w:r>
      <w:r w:rsidRPr="005B520E">
        <w:t>Before</w:t>
      </w:r>
      <w:r>
        <w:t xml:space="preserve"> Styling</w:t>
      </w:r>
    </w:p>
    <w:p w14:paraId="3E76112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27DD96B"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10AB131" w14:textId="77777777" w:rsidR="009303D9" w:rsidRDefault="009303D9" w:rsidP="00ED0149">
      <w:pPr>
        <w:pStyle w:val="Heading2"/>
      </w:pPr>
      <w:r w:rsidRPr="00ED0149">
        <w:t>Abbreviations</w:t>
      </w:r>
      <w:r>
        <w:t xml:space="preserve"> and Acronyms</w:t>
      </w:r>
    </w:p>
    <w:p w14:paraId="523C7E0A"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75BC2C48" w14:textId="77777777" w:rsidR="009303D9" w:rsidRDefault="009303D9" w:rsidP="00ED0149">
      <w:pPr>
        <w:pStyle w:val="Heading2"/>
      </w:pPr>
      <w:r>
        <w:t>Units</w:t>
      </w:r>
    </w:p>
    <w:p w14:paraId="4EFBC083"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B155342"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6C27D381"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r w:rsidRPr="005B520E">
        <w:lastRenderedPageBreak/>
        <w:t>“</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4EE9F579"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007AF54F" w14:textId="77777777" w:rsidR="009303D9" w:rsidRPr="005B520E" w:rsidRDefault="009303D9" w:rsidP="00ED0149">
      <w:pPr>
        <w:pStyle w:val="Heading2"/>
      </w:pPr>
      <w:r w:rsidRPr="005B520E">
        <w:t>Equations</w:t>
      </w:r>
    </w:p>
    <w:p w14:paraId="08217CB8"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7BA47FC"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06842D0"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AD7E07F"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6CC2971" w14:textId="77777777" w:rsidR="009303D9" w:rsidRDefault="009303D9" w:rsidP="00ED0149">
      <w:pPr>
        <w:pStyle w:val="Heading2"/>
      </w:pPr>
      <w:r>
        <w:t>Some Common Mistakes</w:t>
      </w:r>
    </w:p>
    <w:p w14:paraId="315E7FD9" w14:textId="77777777" w:rsidR="009303D9" w:rsidRPr="005B520E" w:rsidRDefault="009303D9" w:rsidP="00E7596C">
      <w:pPr>
        <w:pStyle w:val="bulletlist"/>
      </w:pPr>
      <w:r w:rsidRPr="005B520E">
        <w:t>The word “data” is plural, not singular.</w:t>
      </w:r>
    </w:p>
    <w:p w14:paraId="115B74F9"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CA33B13"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D1E3C75"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C0209A1" w14:textId="77777777" w:rsidR="009303D9" w:rsidRPr="005B520E" w:rsidRDefault="009303D9" w:rsidP="00E7596C">
      <w:pPr>
        <w:pStyle w:val="bulletlist"/>
      </w:pPr>
      <w:r w:rsidRPr="005B520E">
        <w:t>Do not use the word “essentially” to mean “approximately” or “effectively”.</w:t>
      </w:r>
    </w:p>
    <w:p w14:paraId="6538370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3398B"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8E35FF6" w14:textId="77777777" w:rsidR="009303D9" w:rsidRPr="005B520E" w:rsidRDefault="009303D9" w:rsidP="00E7596C">
      <w:pPr>
        <w:pStyle w:val="bulletlist"/>
      </w:pPr>
      <w:r w:rsidRPr="005B520E">
        <w:t>Do not confuse “imply” and “infer”.</w:t>
      </w:r>
    </w:p>
    <w:p w14:paraId="75E551BB" w14:textId="77777777" w:rsidR="009303D9" w:rsidRPr="005B520E" w:rsidRDefault="009303D9" w:rsidP="00E7596C">
      <w:pPr>
        <w:pStyle w:val="bulletlist"/>
      </w:pPr>
      <w:r w:rsidRPr="005B520E">
        <w:t>The prefix “non” is not a word; it should be joined to the word it modifies, usually without a hyphen.</w:t>
      </w:r>
    </w:p>
    <w:p w14:paraId="797D6C50" w14:textId="77777777" w:rsidR="009303D9" w:rsidRPr="005B520E" w:rsidRDefault="009303D9" w:rsidP="00E7596C">
      <w:pPr>
        <w:pStyle w:val="bulletlist"/>
      </w:pPr>
      <w:r w:rsidRPr="005B520E">
        <w:t>There is no period after the “et” in the Latin abbreviation “et al.”.</w:t>
      </w:r>
    </w:p>
    <w:p w14:paraId="5BB14327" w14:textId="77777777" w:rsidR="009303D9" w:rsidRPr="005B520E" w:rsidRDefault="009303D9" w:rsidP="00E7596C">
      <w:pPr>
        <w:pStyle w:val="bulletlist"/>
      </w:pPr>
      <w:r w:rsidRPr="005B520E">
        <w:t>The abbreviation “i.e.” means “that is”, and the abbreviation “e.g.” means “for example”.</w:t>
      </w:r>
    </w:p>
    <w:p w14:paraId="3A6A2661" w14:textId="77777777" w:rsidR="009303D9" w:rsidRPr="005B520E" w:rsidRDefault="009303D9" w:rsidP="00E7596C">
      <w:pPr>
        <w:pStyle w:val="BodyText"/>
      </w:pPr>
      <w:r w:rsidRPr="005B520E">
        <w:t>An excellent style manual for science writers is [7].</w:t>
      </w:r>
    </w:p>
    <w:p w14:paraId="154F30B5" w14:textId="77777777" w:rsidR="009303D9" w:rsidRDefault="009303D9" w:rsidP="006B6B66">
      <w:pPr>
        <w:pStyle w:val="Heading1"/>
      </w:pPr>
      <w:r>
        <w:t xml:space="preserve">Using the </w:t>
      </w:r>
      <w:r w:rsidRPr="005B520E">
        <w:t>Template</w:t>
      </w:r>
    </w:p>
    <w:p w14:paraId="1A0C3E96"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2C9C81F" w14:textId="77777777" w:rsidR="009303D9" w:rsidRDefault="009303D9" w:rsidP="00ED0149">
      <w:pPr>
        <w:pStyle w:val="Heading2"/>
      </w:pPr>
      <w:r w:rsidRPr="005B520E">
        <w:t>Authors</w:t>
      </w:r>
      <w:r>
        <w:t xml:space="preserve"> and Affiliations</w:t>
      </w:r>
    </w:p>
    <w:p w14:paraId="720F3FF9"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E16372E"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54FC623"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071122C"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CD2D337"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EFDA56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3BFDBCD" w14:textId="77777777" w:rsidR="006F6D3D" w:rsidRDefault="006F6D3D" w:rsidP="006F6D3D">
      <w:pPr>
        <w:jc w:val="start"/>
        <w:rPr>
          <w:i/>
          <w:iCs/>
          <w:noProof/>
        </w:rPr>
      </w:pPr>
    </w:p>
    <w:p w14:paraId="026030D3" w14:textId="77777777" w:rsidR="009303D9" w:rsidRDefault="009303D9" w:rsidP="00ED0149">
      <w:pPr>
        <w:pStyle w:val="Heading2"/>
      </w:pPr>
      <w:r w:rsidRPr="005B520E">
        <w:t>Identify</w:t>
      </w:r>
      <w:r>
        <w:t xml:space="preserve"> the Headings</w:t>
      </w:r>
    </w:p>
    <w:p w14:paraId="3F3DD0F7"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186640E"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BB95323" w14:textId="77777777" w:rsidR="009303D9" w:rsidRPr="005B520E" w:rsidRDefault="009303D9" w:rsidP="00E7596C">
      <w:pPr>
        <w:pStyle w:val="BodyText"/>
      </w:pPr>
      <w:r w:rsidRPr="005B520E">
        <w:t xml:space="preserve">Text heads organize the topics on a relational, hierarchical basis. For example, the paper title is the primary text head </w:t>
      </w:r>
      <w:r w:rsidRPr="005B520E">
        <w:lastRenderedPageBreak/>
        <w:t>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FB74EB0" w14:textId="77777777" w:rsidR="009303D9" w:rsidRDefault="009303D9" w:rsidP="00ED0149">
      <w:pPr>
        <w:pStyle w:val="Heading2"/>
      </w:pPr>
      <w:r>
        <w:t>Figures and Tables</w:t>
      </w:r>
    </w:p>
    <w:p w14:paraId="6652A22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B22D749"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3DE2DE91" w14:textId="77777777">
        <w:trPr>
          <w:cantSplit/>
          <w:trHeight w:val="240"/>
          <w:tblHeader/>
          <w:jc w:val="center"/>
        </w:trPr>
        <w:tc>
          <w:tcPr>
            <w:tcW w:w="36pt" w:type="dxa"/>
            <w:vMerge w:val="restart"/>
            <w:vAlign w:val="center"/>
          </w:tcPr>
          <w:p w14:paraId="52A9B255" w14:textId="77777777" w:rsidR="009303D9" w:rsidRDefault="009303D9">
            <w:pPr>
              <w:pStyle w:val="tablecolhead"/>
            </w:pPr>
            <w:r>
              <w:t>Table Head</w:t>
            </w:r>
          </w:p>
        </w:tc>
        <w:tc>
          <w:tcPr>
            <w:tcW w:w="207pt" w:type="dxa"/>
            <w:gridSpan w:val="3"/>
            <w:vAlign w:val="center"/>
          </w:tcPr>
          <w:p w14:paraId="532B442A" w14:textId="77777777" w:rsidR="009303D9" w:rsidRDefault="009303D9">
            <w:pPr>
              <w:pStyle w:val="tablecolhead"/>
            </w:pPr>
            <w:r>
              <w:t>Table Column Head</w:t>
            </w:r>
          </w:p>
        </w:tc>
      </w:tr>
      <w:tr w:rsidR="009303D9" w14:paraId="4CF46152" w14:textId="77777777">
        <w:trPr>
          <w:cantSplit/>
          <w:trHeight w:val="240"/>
          <w:tblHeader/>
          <w:jc w:val="center"/>
        </w:trPr>
        <w:tc>
          <w:tcPr>
            <w:tcW w:w="36pt" w:type="dxa"/>
            <w:vMerge/>
          </w:tcPr>
          <w:p w14:paraId="43813C50" w14:textId="77777777" w:rsidR="009303D9" w:rsidRDefault="009303D9">
            <w:pPr>
              <w:rPr>
                <w:sz w:val="16"/>
                <w:szCs w:val="16"/>
              </w:rPr>
            </w:pPr>
          </w:p>
        </w:tc>
        <w:tc>
          <w:tcPr>
            <w:tcW w:w="117pt" w:type="dxa"/>
            <w:vAlign w:val="center"/>
          </w:tcPr>
          <w:p w14:paraId="4FF3A885" w14:textId="77777777" w:rsidR="009303D9" w:rsidRDefault="009303D9">
            <w:pPr>
              <w:pStyle w:val="tablecolsubhead"/>
            </w:pPr>
            <w:r>
              <w:t>Table column subhead</w:t>
            </w:r>
          </w:p>
        </w:tc>
        <w:tc>
          <w:tcPr>
            <w:tcW w:w="45pt" w:type="dxa"/>
            <w:vAlign w:val="center"/>
          </w:tcPr>
          <w:p w14:paraId="5194DFE4" w14:textId="77777777" w:rsidR="009303D9" w:rsidRDefault="009303D9">
            <w:pPr>
              <w:pStyle w:val="tablecolsubhead"/>
            </w:pPr>
            <w:r>
              <w:t>Subhead</w:t>
            </w:r>
          </w:p>
        </w:tc>
        <w:tc>
          <w:tcPr>
            <w:tcW w:w="45pt" w:type="dxa"/>
            <w:vAlign w:val="center"/>
          </w:tcPr>
          <w:p w14:paraId="575E050B" w14:textId="77777777" w:rsidR="009303D9" w:rsidRDefault="009303D9">
            <w:pPr>
              <w:pStyle w:val="tablecolsubhead"/>
            </w:pPr>
            <w:r>
              <w:t>Subhead</w:t>
            </w:r>
          </w:p>
        </w:tc>
      </w:tr>
      <w:tr w:rsidR="009303D9" w14:paraId="063D728B" w14:textId="77777777">
        <w:trPr>
          <w:trHeight w:val="320"/>
          <w:jc w:val="center"/>
        </w:trPr>
        <w:tc>
          <w:tcPr>
            <w:tcW w:w="36pt" w:type="dxa"/>
            <w:vAlign w:val="center"/>
          </w:tcPr>
          <w:p w14:paraId="564656F6" w14:textId="77777777" w:rsidR="009303D9" w:rsidRDefault="009303D9">
            <w:pPr>
              <w:pStyle w:val="tablecopy"/>
              <w:rPr>
                <w:sz w:val="8"/>
                <w:szCs w:val="8"/>
              </w:rPr>
            </w:pPr>
            <w:r>
              <w:t>copy</w:t>
            </w:r>
          </w:p>
        </w:tc>
        <w:tc>
          <w:tcPr>
            <w:tcW w:w="117pt" w:type="dxa"/>
            <w:vAlign w:val="center"/>
          </w:tcPr>
          <w:p w14:paraId="638302D7" w14:textId="77777777" w:rsidR="009303D9" w:rsidRDefault="009303D9">
            <w:pPr>
              <w:pStyle w:val="tablecopy"/>
            </w:pPr>
            <w:r>
              <w:t>More table copy</w:t>
            </w:r>
            <w:r>
              <w:rPr>
                <w:vertAlign w:val="superscript"/>
              </w:rPr>
              <w:t>a</w:t>
            </w:r>
          </w:p>
        </w:tc>
        <w:tc>
          <w:tcPr>
            <w:tcW w:w="45pt" w:type="dxa"/>
            <w:vAlign w:val="center"/>
          </w:tcPr>
          <w:p w14:paraId="3410EC64" w14:textId="77777777" w:rsidR="009303D9" w:rsidRDefault="009303D9">
            <w:pPr>
              <w:rPr>
                <w:sz w:val="16"/>
                <w:szCs w:val="16"/>
              </w:rPr>
            </w:pPr>
          </w:p>
        </w:tc>
        <w:tc>
          <w:tcPr>
            <w:tcW w:w="45pt" w:type="dxa"/>
            <w:vAlign w:val="center"/>
          </w:tcPr>
          <w:p w14:paraId="08497C97" w14:textId="77777777" w:rsidR="009303D9" w:rsidRDefault="009303D9">
            <w:pPr>
              <w:rPr>
                <w:sz w:val="16"/>
                <w:szCs w:val="16"/>
              </w:rPr>
            </w:pPr>
          </w:p>
        </w:tc>
      </w:tr>
    </w:tbl>
    <w:p w14:paraId="7E5FEF1F"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2F158B24" wp14:editId="6887B0F4">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9030C61"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4FEAC58"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4165740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21A688"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1FE95C2"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EC4121C"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42F7A5D2" w14:textId="77777777" w:rsidR="009303D9" w:rsidRDefault="009303D9" w:rsidP="00A059B3">
      <w:pPr>
        <w:pStyle w:val="Heading5"/>
      </w:pPr>
      <w:r w:rsidRPr="005B520E">
        <w:t>References</w:t>
      </w:r>
    </w:p>
    <w:p w14:paraId="31A147A0"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34592E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F217039"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0DB1F68"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150DDC8" w14:textId="77777777" w:rsidR="009303D9" w:rsidRPr="005B520E" w:rsidRDefault="009303D9"/>
    <w:p w14:paraId="36590505"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0224F9C" w14:textId="77777777" w:rsidR="009303D9" w:rsidRDefault="009303D9" w:rsidP="0004781E">
      <w:pPr>
        <w:pStyle w:val="references"/>
        <w:ind w:start="17.70pt" w:hanging="17.70pt"/>
      </w:pPr>
      <w:r>
        <w:t>J. Clerk Maxwell, A Treatise on Electricity and Magnetism, 3rd ed., vol. 2. Oxford: Clarendon, 1892, pp.68–73.</w:t>
      </w:r>
    </w:p>
    <w:p w14:paraId="0F54CF65"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43A50040" w14:textId="77777777" w:rsidR="009303D9" w:rsidRDefault="009303D9" w:rsidP="0004781E">
      <w:pPr>
        <w:pStyle w:val="references"/>
        <w:ind w:start="17.70pt" w:hanging="17.70pt"/>
      </w:pPr>
      <w:r>
        <w:t>K. Elissa, “Title of paper if known,” unpublished.</w:t>
      </w:r>
    </w:p>
    <w:p w14:paraId="2C0777AF" w14:textId="77777777" w:rsidR="009303D9" w:rsidRDefault="009303D9" w:rsidP="0004781E">
      <w:pPr>
        <w:pStyle w:val="references"/>
        <w:ind w:start="17.70pt" w:hanging="17.70pt"/>
      </w:pPr>
      <w:r>
        <w:t>R. Nicole, “Title of paper with only first word capitalized,” J. Name Stand. Abbrev., in press.</w:t>
      </w:r>
    </w:p>
    <w:p w14:paraId="358745A6"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2187B950" w14:textId="77777777" w:rsidR="009303D9" w:rsidRDefault="009303D9" w:rsidP="0004781E">
      <w:pPr>
        <w:pStyle w:val="references"/>
        <w:ind w:start="17.70pt" w:hanging="17.70pt"/>
      </w:pPr>
      <w:r>
        <w:t>M. Young, The Technical Writer</w:t>
      </w:r>
      <w:r w:rsidR="00E7596C">
        <w:t>’</w:t>
      </w:r>
      <w:r>
        <w:t>s Handbook. Mill Valley, CA: University Science, 1989.</w:t>
      </w:r>
    </w:p>
    <w:p w14:paraId="6EDCFAE4"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E91EBF3"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4952B2C" w14:textId="77777777" w:rsidR="009B35F4" w:rsidRDefault="009B35F4" w:rsidP="001A3B3D">
      <w:r>
        <w:separator/>
      </w:r>
    </w:p>
  </w:endnote>
  <w:endnote w:type="continuationSeparator" w:id="0">
    <w:p w14:paraId="17C58804" w14:textId="77777777" w:rsidR="009B35F4" w:rsidRDefault="009B35F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6B1850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F50FED2" w14:textId="77777777" w:rsidR="009B35F4" w:rsidRDefault="009B35F4" w:rsidP="001A3B3D">
      <w:r>
        <w:separator/>
      </w:r>
    </w:p>
  </w:footnote>
  <w:footnote w:type="continuationSeparator" w:id="0">
    <w:p w14:paraId="5FBD5AF5" w14:textId="77777777" w:rsidR="009B35F4" w:rsidRDefault="009B35F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3A2C09"/>
    <w:multiLevelType w:val="hybridMultilevel"/>
    <w:tmpl w:val="2C1C76FE"/>
    <w:lvl w:ilvl="0" w:tplc="677C7378">
      <w:start w:val="1"/>
      <w:numFmt w:val="decimal"/>
      <w:lvlText w:val="%1."/>
      <w:lvlJc w:val="start"/>
      <w:pPr>
        <w:ind w:start="32.40pt" w:hanging="18pt"/>
      </w:pPr>
      <w:rPr>
        <w:rFonts w:hint="default"/>
      </w:rPr>
    </w:lvl>
    <w:lvl w:ilvl="1" w:tplc="04090019">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E4243A1"/>
    <w:multiLevelType w:val="hybridMultilevel"/>
    <w:tmpl w:val="8112EDC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78724989">
    <w:abstractNumId w:val="16"/>
  </w:num>
  <w:num w:numId="2" w16cid:durableId="178352973">
    <w:abstractNumId w:val="21"/>
  </w:num>
  <w:num w:numId="3" w16cid:durableId="2003965891">
    <w:abstractNumId w:val="14"/>
  </w:num>
  <w:num w:numId="4" w16cid:durableId="42410626">
    <w:abstractNumId w:val="18"/>
  </w:num>
  <w:num w:numId="5" w16cid:durableId="584804745">
    <w:abstractNumId w:val="18"/>
  </w:num>
  <w:num w:numId="6" w16cid:durableId="969087677">
    <w:abstractNumId w:val="18"/>
  </w:num>
  <w:num w:numId="7" w16cid:durableId="1085226535">
    <w:abstractNumId w:val="18"/>
  </w:num>
  <w:num w:numId="8" w16cid:durableId="1617132880">
    <w:abstractNumId w:val="20"/>
  </w:num>
  <w:num w:numId="9" w16cid:durableId="1275163839">
    <w:abstractNumId w:val="22"/>
  </w:num>
  <w:num w:numId="10" w16cid:durableId="1756048636">
    <w:abstractNumId w:val="17"/>
  </w:num>
  <w:num w:numId="11" w16cid:durableId="990985610">
    <w:abstractNumId w:val="13"/>
  </w:num>
  <w:num w:numId="12" w16cid:durableId="851140370">
    <w:abstractNumId w:val="12"/>
  </w:num>
  <w:num w:numId="13" w16cid:durableId="804010750">
    <w:abstractNumId w:val="0"/>
  </w:num>
  <w:num w:numId="14" w16cid:durableId="474034846">
    <w:abstractNumId w:val="10"/>
  </w:num>
  <w:num w:numId="15" w16cid:durableId="687373787">
    <w:abstractNumId w:val="8"/>
  </w:num>
  <w:num w:numId="16" w16cid:durableId="244655449">
    <w:abstractNumId w:val="7"/>
  </w:num>
  <w:num w:numId="17" w16cid:durableId="493760700">
    <w:abstractNumId w:val="6"/>
  </w:num>
  <w:num w:numId="18" w16cid:durableId="1671323844">
    <w:abstractNumId w:val="5"/>
  </w:num>
  <w:num w:numId="19" w16cid:durableId="1017196103">
    <w:abstractNumId w:val="9"/>
  </w:num>
  <w:num w:numId="20" w16cid:durableId="1556575798">
    <w:abstractNumId w:val="4"/>
  </w:num>
  <w:num w:numId="21" w16cid:durableId="697582397">
    <w:abstractNumId w:val="3"/>
  </w:num>
  <w:num w:numId="22" w16cid:durableId="2099907013">
    <w:abstractNumId w:val="2"/>
  </w:num>
  <w:num w:numId="23" w16cid:durableId="279143879">
    <w:abstractNumId w:val="1"/>
  </w:num>
  <w:num w:numId="24" w16cid:durableId="258608300">
    <w:abstractNumId w:val="19"/>
  </w:num>
  <w:num w:numId="25" w16cid:durableId="1751193031">
    <w:abstractNumId w:val="15"/>
  </w:num>
  <w:num w:numId="26" w16cid:durableId="1496800980">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203F5"/>
    <w:rsid w:val="0015079E"/>
    <w:rsid w:val="001A2EFD"/>
    <w:rsid w:val="001A3B3D"/>
    <w:rsid w:val="001A42EA"/>
    <w:rsid w:val="001B67DC"/>
    <w:rsid w:val="001D7BCF"/>
    <w:rsid w:val="002254A9"/>
    <w:rsid w:val="00233D97"/>
    <w:rsid w:val="002850E3"/>
    <w:rsid w:val="002B165E"/>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85AE4"/>
    <w:rsid w:val="006B6B66"/>
    <w:rsid w:val="006F6D3D"/>
    <w:rsid w:val="00704134"/>
    <w:rsid w:val="00715BEA"/>
    <w:rsid w:val="00740EEA"/>
    <w:rsid w:val="00794804"/>
    <w:rsid w:val="007B33F1"/>
    <w:rsid w:val="007C0308"/>
    <w:rsid w:val="007C2FF2"/>
    <w:rsid w:val="007D4828"/>
    <w:rsid w:val="007D6232"/>
    <w:rsid w:val="007F1F99"/>
    <w:rsid w:val="007F768F"/>
    <w:rsid w:val="0080791D"/>
    <w:rsid w:val="00873603"/>
    <w:rsid w:val="008A2C7D"/>
    <w:rsid w:val="008C4B23"/>
    <w:rsid w:val="008E15DF"/>
    <w:rsid w:val="008F6E2C"/>
    <w:rsid w:val="009303D9"/>
    <w:rsid w:val="00933C64"/>
    <w:rsid w:val="00972203"/>
    <w:rsid w:val="009B35F4"/>
    <w:rsid w:val="009F534B"/>
    <w:rsid w:val="00A059B3"/>
    <w:rsid w:val="00A83751"/>
    <w:rsid w:val="00AD3F37"/>
    <w:rsid w:val="00AE3409"/>
    <w:rsid w:val="00B11A60"/>
    <w:rsid w:val="00B22613"/>
    <w:rsid w:val="00BA1025"/>
    <w:rsid w:val="00BC3420"/>
    <w:rsid w:val="00BE7D3C"/>
    <w:rsid w:val="00BF5FF6"/>
    <w:rsid w:val="00C0207F"/>
    <w:rsid w:val="00C16117"/>
    <w:rsid w:val="00C3075A"/>
    <w:rsid w:val="00C5124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9D07C7"/>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200</TotalTime>
  <Pages>3</Pages>
  <Words>2068</Words>
  <Characters>11793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Nada Abdelwahab</cp:lastModifiedBy>
  <cp:revision>5</cp:revision>
  <dcterms:created xsi:type="dcterms:W3CDTF">2019-01-08T18:42:00Z</dcterms:created>
  <dcterms:modified xsi:type="dcterms:W3CDTF">2026-05-19T20:24:00Z</dcterms:modified>
</cp:coreProperties>
</file>