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before="0" w:after="60"/>
        <w:jc w:val="center"/>
      </w:pPr>
      <w:r>
        <w:rPr>
          <w:rFonts w:ascii="Arial" w:cs="Arial" w:eastAsia="Arial" w:hAnsi="Arial"/>
          <w:caps/>
          <w:color w:val="888888"/>
          <w:sz w:val="20"/>
          <w:szCs w:val="20"/>
        </w:rPr>
        <w:t xml:space="preserve">BRING YOUR OWN PROJECT</w:t>
      </w:r>
    </w:p>
    <w:p>
      <w:pPr>
        <w:spacing w:before="40" w:after="60"/>
        <w:jc w:val="center"/>
      </w:pPr>
      <w:r>
        <w:rPr>
          <w:rFonts w:ascii="Arial" w:cs="Arial" w:eastAsia="Arial" w:hAnsi="Arial"/>
          <w:b/>
          <w:bCs/>
          <w:color w:val="1F4E79"/>
          <w:sz w:val="52"/>
          <w:szCs w:val="52"/>
        </w:rPr>
        <w:t xml:space="preserve">Project Report</w:t>
      </w:r>
    </w:p>
    <w:p>
      <w:pPr>
        <w:spacing w:before="0" w:after="60"/>
        <w:jc w:val="center"/>
      </w:pPr>
      <w:r>
        <w:rPr>
          <w:rFonts w:ascii="Arial" w:cs="Arial" w:eastAsia="Arial" w:hAnsi="Arial"/>
          <w:b/>
          <w:bCs/>
          <w:color w:val="2E75B6"/>
          <w:sz w:val="34"/>
          <w:szCs w:val="34"/>
        </w:rPr>
        <w:t xml:space="preserve">Digital Literacy Portfolio</w:t>
      </w:r>
    </w:p>
    <w:p>
      <w:pPr>
        <w:spacing w:before="0" w:after="400"/>
        <w:jc w:val="center"/>
      </w:pPr>
      <w:r>
        <w:rPr>
          <w:rFonts w:ascii="Arial" w:cs="Arial" w:eastAsia="Arial" w:hAnsi="Arial"/>
          <w:i/>
          <w:iCs/>
          <w:color w:val="888888"/>
          <w:sz w:val="22"/>
          <w:szCs w:val="22"/>
        </w:rPr>
        <w:t xml:space="preserve">CSE0001 — Digital Literacy | VIT Bhopal University</w:t>
      </w:r>
    </w:p>
    <w:p>
      <w:pPr>
        <w:pBdr>
          <w:bottom w:val="single" w:color="2E75B6" w:sz="6" w:space="1"/>
        </w:pBdr>
        <w:spacing w:before="120" w:after="120"/>
      </w:pP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DEEAF1" w:val="clear"/>
            <w:tcMar>
              <w:top w:type="dxa" w:w="80"/>
              <w:left w:type="dxa" w:w="140"/>
              <w:bottom w:type="dxa" w:w="80"/>
              <w:right w:type="dxa" w:w="140"/>
            </w:tcMar>
          </w:tcPr>
          <w:p>
            <w:r>
              <w:rPr>
                <w:rFonts w:ascii="Arial" w:cs="Arial" w:eastAsia="Arial" w:hAnsi="Arial"/>
                <w:b/>
                <w:bCs/>
                <w:color w:val="1F4E79"/>
                <w:sz w:val="22"/>
                <w:szCs w:val="22"/>
              </w:rPr>
              <w:t xml:space="preserve">Name</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[Your Full Name]</w:t>
            </w:r>
          </w:p>
        </w:tc>
      </w:tr>
      <w:tr>
        <w:tc>
          <w:tcPr>
            <w:tcW w:type="dxa" w:w="2600"/>
            <w:tcBorders>
              <w:top w:val="single" w:color="DDDDDD" w:sz="1"/>
              <w:left w:val="single" w:color="DDDDDD" w:sz="1"/>
              <w:bottom w:val="single" w:color="DDDDDD" w:sz="1"/>
              <w:right w:val="single" w:color="DDDDDD" w:sz="1"/>
            </w:tcBorders>
            <w:shd w:fill="DEEAF1" w:val="clear"/>
            <w:tcMar>
              <w:top w:type="dxa" w:w="80"/>
              <w:left w:type="dxa" w:w="140"/>
              <w:bottom w:type="dxa" w:w="80"/>
              <w:right w:type="dxa" w:w="140"/>
            </w:tcMar>
          </w:tcPr>
          <w:p>
            <w:r>
              <w:rPr>
                <w:rFonts w:ascii="Arial" w:cs="Arial" w:eastAsia="Arial" w:hAnsi="Arial"/>
                <w:b/>
                <w:bCs/>
                <w:color w:val="1F4E79"/>
                <w:sz w:val="22"/>
                <w:szCs w:val="22"/>
              </w:rPr>
              <w:t xml:space="preserve">Registration No.</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[Your Reg No.]</w:t>
            </w:r>
          </w:p>
        </w:tc>
      </w:tr>
      <w:tr>
        <w:tc>
          <w:tcPr>
            <w:tcW w:type="dxa" w:w="2600"/>
            <w:tcBorders>
              <w:top w:val="single" w:color="DDDDDD" w:sz="1"/>
              <w:left w:val="single" w:color="DDDDDD" w:sz="1"/>
              <w:bottom w:val="single" w:color="DDDDDD" w:sz="1"/>
              <w:right w:val="single" w:color="DDDDDD" w:sz="1"/>
            </w:tcBorders>
            <w:shd w:fill="DEEAF1" w:val="clear"/>
            <w:tcMar>
              <w:top w:type="dxa" w:w="80"/>
              <w:left w:type="dxa" w:w="140"/>
              <w:bottom w:type="dxa" w:w="80"/>
              <w:right w:type="dxa" w:w="140"/>
            </w:tcMar>
          </w:tcPr>
          <w:p>
            <w:r>
              <w:rPr>
                <w:rFonts w:ascii="Arial" w:cs="Arial" w:eastAsia="Arial" w:hAnsi="Arial"/>
                <w:b/>
                <w:bCs/>
                <w:color w:val="1F4E79"/>
                <w:sz w:val="22"/>
                <w:szCs w:val="22"/>
              </w:rPr>
              <w:t xml:space="preserve">Branch</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B.Tech — Computer Science and Engineering (CSE)</w:t>
            </w:r>
          </w:p>
        </w:tc>
      </w:tr>
      <w:tr>
        <w:tc>
          <w:tcPr>
            <w:tcW w:type="dxa" w:w="2600"/>
            <w:tcBorders>
              <w:top w:val="single" w:color="DDDDDD" w:sz="1"/>
              <w:left w:val="single" w:color="DDDDDD" w:sz="1"/>
              <w:bottom w:val="single" w:color="DDDDDD" w:sz="1"/>
              <w:right w:val="single" w:color="DDDDDD" w:sz="1"/>
            </w:tcBorders>
            <w:shd w:fill="DEEAF1" w:val="clear"/>
            <w:tcMar>
              <w:top w:type="dxa" w:w="80"/>
              <w:left w:type="dxa" w:w="140"/>
              <w:bottom w:type="dxa" w:w="80"/>
              <w:right w:type="dxa" w:w="140"/>
            </w:tcMar>
          </w:tcPr>
          <w:p>
            <w:r>
              <w:rPr>
                <w:rFonts w:ascii="Arial" w:cs="Arial" w:eastAsia="Arial" w:hAnsi="Arial"/>
                <w:b/>
                <w:bCs/>
                <w:color w:val="1F4E79"/>
                <w:sz w:val="22"/>
                <w:szCs w:val="22"/>
              </w:rPr>
              <w:t xml:space="preserve">Year</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First Year</w:t>
            </w:r>
          </w:p>
        </w:tc>
      </w:tr>
      <w:tr>
        <w:tc>
          <w:tcPr>
            <w:tcW w:type="dxa" w:w="2600"/>
            <w:tcBorders>
              <w:top w:val="single" w:color="DDDDDD" w:sz="1"/>
              <w:left w:val="single" w:color="DDDDDD" w:sz="1"/>
              <w:bottom w:val="single" w:color="DDDDDD" w:sz="1"/>
              <w:right w:val="single" w:color="DDDDDD" w:sz="1"/>
            </w:tcBorders>
            <w:shd w:fill="DEEAF1" w:val="clear"/>
            <w:tcMar>
              <w:top w:type="dxa" w:w="80"/>
              <w:left w:type="dxa" w:w="140"/>
              <w:bottom w:type="dxa" w:w="80"/>
              <w:right w:type="dxa" w:w="140"/>
            </w:tcMar>
          </w:tcPr>
          <w:p>
            <w:r>
              <w:rPr>
                <w:rFonts w:ascii="Arial" w:cs="Arial" w:eastAsia="Arial" w:hAnsi="Arial"/>
                <w:b/>
                <w:bCs/>
                <w:color w:val="1F4E79"/>
                <w:sz w:val="22"/>
                <w:szCs w:val="22"/>
              </w:rPr>
              <w:t xml:space="preserve">Course Code</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CSE0001</w:t>
            </w:r>
          </w:p>
        </w:tc>
      </w:tr>
      <w:tr>
        <w:tc>
          <w:tcPr>
            <w:tcW w:type="dxa" w:w="2600"/>
            <w:tcBorders>
              <w:top w:val="single" w:color="DDDDDD" w:sz="1"/>
              <w:left w:val="single" w:color="DDDDDD" w:sz="1"/>
              <w:bottom w:val="single" w:color="DDDDDD" w:sz="1"/>
              <w:right w:val="single" w:color="DDDDDD" w:sz="1"/>
            </w:tcBorders>
            <w:shd w:fill="DEEAF1" w:val="clear"/>
            <w:tcMar>
              <w:top w:type="dxa" w:w="80"/>
              <w:left w:type="dxa" w:w="140"/>
              <w:bottom w:type="dxa" w:w="80"/>
              <w:right w:type="dxa" w:w="140"/>
            </w:tcMar>
          </w:tcPr>
          <w:p>
            <w:r>
              <w:rPr>
                <w:rFonts w:ascii="Arial" w:cs="Arial" w:eastAsia="Arial" w:hAnsi="Arial"/>
                <w:b/>
                <w:bCs/>
                <w:color w:val="1F4E79"/>
                <w:sz w:val="22"/>
                <w:szCs w:val="22"/>
              </w:rPr>
              <w:t xml:space="preserve">Course Title</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Digital Literacy</w:t>
            </w:r>
          </w:p>
        </w:tc>
      </w:tr>
      <w:tr>
        <w:tc>
          <w:tcPr>
            <w:tcW w:type="dxa" w:w="2600"/>
            <w:tcBorders>
              <w:top w:val="single" w:color="DDDDDD" w:sz="1"/>
              <w:left w:val="single" w:color="DDDDDD" w:sz="1"/>
              <w:bottom w:val="single" w:color="DDDDDD" w:sz="1"/>
              <w:right w:val="single" w:color="DDDDDD" w:sz="1"/>
            </w:tcBorders>
            <w:shd w:fill="DEEAF1" w:val="clear"/>
            <w:tcMar>
              <w:top w:type="dxa" w:w="80"/>
              <w:left w:type="dxa" w:w="140"/>
              <w:bottom w:type="dxa" w:w="80"/>
              <w:right w:type="dxa" w:w="140"/>
            </w:tcMar>
          </w:tcPr>
          <w:p>
            <w:r>
              <w:rPr>
                <w:rFonts w:ascii="Arial" w:cs="Arial" w:eastAsia="Arial" w:hAnsi="Arial"/>
                <w:b/>
                <w:bCs/>
                <w:color w:val="1F4E79"/>
                <w:sz w:val="22"/>
                <w:szCs w:val="22"/>
              </w:rPr>
              <w:t xml:space="preserve">Submission Date</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March 2026</w:t>
            </w:r>
          </w:p>
        </w:tc>
      </w:tr>
    </w:tbl>
    <w:p>
      <w:pPr>
        <w:spacing w:before="800"/>
      </w:pPr>
    </w:p>
    <w:p>
      <w:r>
        <w:br/>
      </w:r>
    </w:p>
    <w:p>
      <w:pPr>
        <w:pStyle w:val="Heading1"/>
        <w:spacing w:before="320" w:after="80"/>
      </w:pPr>
      <w:r>
        <w:rPr>
          <w:rFonts w:ascii="Arial" w:cs="Arial" w:eastAsia="Arial" w:hAnsi="Arial"/>
          <w:b/>
          <w:bCs/>
          <w:color w:val="1F4E79"/>
          <w:sz w:val="32"/>
          <w:szCs w:val="32"/>
        </w:rPr>
        <w:t xml:space="preserve">Introduction</w:t>
      </w:r>
    </w:p>
    <w:p>
      <w:pPr>
        <w:pBdr>
          <w:bottom w:val="single" w:color="1F4E79" w:sz="6" w:space="1"/>
        </w:pBdr>
        <w:spacing w:before="120" w:after="120"/>
      </w:pPr>
    </w:p>
    <w:p>
      <w:pPr>
        <w:spacing w:before="80" w:after="100" w:line="360"/>
      </w:pPr>
      <w:r>
        <w:rPr>
          <w:rFonts w:ascii="Arial" w:cs="Arial" w:eastAsia="Arial" w:hAnsi="Arial"/>
          <w:sz w:val="24"/>
          <w:szCs w:val="24"/>
        </w:rPr>
        <w:t xml:space="preserve">This report documents my work for the CSE0001 Digital Literacy Bring Your Own Project (BYOP) at VIT Bhopal University. The project is structured around the scenario of being selected as a Student Digital Ambassador — a role that requires demonstrating knowledge and practical skills across five key areas of digital literacy.</w:t>
      </w:r>
    </w:p>
    <w:p>
      <w:pPr>
        <w:spacing w:before="80" w:after="100" w:line="360"/>
      </w:pPr>
      <w:r>
        <w:rPr>
          <w:rFonts w:ascii="Arial" w:cs="Arial" w:eastAsia="Arial" w:hAnsi="Arial"/>
          <w:sz w:val="24"/>
          <w:szCs w:val="24"/>
        </w:rPr>
        <w:t xml:space="preserve">The project is divided into five tasks, each mapped to one module of the course. Together they cover digital awareness, professional online presence, coding and collaboration platforms, professional communication, and cybersecurity awareness. All work has been organised in a single GitHub repository and is documented in this report.</w:t>
      </w:r>
    </w:p>
    <w:p>
      <w:pPr>
        <w:spacing w:before="80" w:after="100" w:line="360"/>
      </w:pPr>
      <w:r>
        <w:rPr>
          <w:rFonts w:ascii="Arial" w:cs="Arial" w:eastAsia="Arial" w:hAnsi="Arial"/>
          <w:sz w:val="24"/>
          <w:szCs w:val="24"/>
        </w:rPr>
        <w:t xml:space="preserve">No prior coding experience was required for this project. Every tool used is free and accessible through a standard web browser, making the learning experience practical and immediately applicable to life as a first-year B.Tech student.</w:t>
      </w:r>
    </w:p>
    <w:p>
      <w:r>
        <w:br/>
      </w:r>
    </w:p>
    <w:p>
      <w:pPr>
        <w:pStyle w:val="Heading1"/>
        <w:spacing w:before="320" w:after="80"/>
      </w:pPr>
      <w:r>
        <w:rPr>
          <w:rFonts w:ascii="Arial" w:cs="Arial" w:eastAsia="Arial" w:hAnsi="Arial"/>
          <w:b/>
          <w:bCs/>
          <w:color w:val="1a6b3a"/>
          <w:sz w:val="32"/>
          <w:szCs w:val="32"/>
        </w:rPr>
        <w:t xml:space="preserve">Task 1 — Digital Literacy Awareness Infographic</w:t>
      </w:r>
    </w:p>
    <w:p>
      <w:pPr>
        <w:pBdr>
          <w:bottom w:val="single" w:color="2E8B4A" w:sz="6" w:space="1"/>
        </w:pBd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r>
              <w:rPr>
                <w:rFonts w:ascii="Arial" w:cs="Arial" w:eastAsia="Arial" w:hAnsi="Arial"/>
                <w:b/>
                <w:bCs/>
                <w:color w:val="1a6b3a"/>
                <w:sz w:val="22"/>
                <w:szCs w:val="22"/>
              </w:rPr>
              <w:t xml:space="preserve">Module</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Module 1</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r>
              <w:rPr>
                <w:rFonts w:ascii="Arial" w:cs="Arial" w:eastAsia="Arial" w:hAnsi="Arial"/>
                <w:b/>
                <w:bCs/>
                <w:color w:val="1a6b3a"/>
                <w:sz w:val="22"/>
                <w:szCs w:val="22"/>
              </w:rPr>
              <w:t xml:space="preserve">Marks</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20 marks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r>
              <w:rPr>
                <w:rFonts w:ascii="Arial" w:cs="Arial" w:eastAsia="Arial" w:hAnsi="Arial"/>
                <w:b/>
                <w:bCs/>
                <w:color w:val="1a6b3a"/>
                <w:sz w:val="22"/>
                <w:szCs w:val="22"/>
              </w:rPr>
              <w:t xml:space="preserve">Tool Used</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Canva (canva.com)</w:t>
            </w:r>
          </w:p>
        </w:tc>
      </w:tr>
    </w:tbl>
    <w:p>
      <w:pPr>
        <w:spacing w:before="120" w:after="0"/>
      </w:pPr>
    </w:p>
    <w:p>
      <w:pPr>
        <w:pStyle w:val="Heading2"/>
        <w:spacing w:before="200" w:after="60"/>
      </w:pPr>
      <w:r>
        <w:rPr>
          <w:rFonts w:ascii="Arial" w:cs="Arial" w:eastAsia="Arial" w:hAnsi="Arial"/>
          <w:b/>
          <w:bCs/>
          <w:color w:val="2E8B4A"/>
          <w:sz w:val="26"/>
          <w:szCs w:val="26"/>
        </w:rPr>
        <w:t xml:space="preserve">What I made</w:t>
      </w:r>
    </w:p>
    <w:p>
      <w:pPr>
        <w:spacing w:before="80" w:after="100" w:line="360"/>
      </w:pPr>
      <w:r>
        <w:rPr>
          <w:rFonts w:ascii="Arial" w:cs="Arial" w:eastAsia="Arial" w:hAnsi="Arial"/>
          <w:sz w:val="24"/>
          <w:szCs w:val="24"/>
        </w:rPr>
        <w:t xml:space="preserve">For Task 1, I created a one-page digital literacy infographic titled “Your Guide to the Digital World” using Canva. The infographic is designed to help first-year B.Tech students understand the core concepts of digital literacy in a clear, visual, and engaging format suitable for sharing with peers.</w:t>
      </w:r>
    </w:p>
    <w:p>
      <w:pPr>
        <w:pStyle w:val="Heading2"/>
        <w:spacing w:before="200" w:after="60"/>
      </w:pPr>
      <w:r>
        <w:rPr>
          <w:rFonts w:ascii="Arial" w:cs="Arial" w:eastAsia="Arial" w:hAnsi="Arial"/>
          <w:b/>
          <w:bCs/>
          <w:color w:val="2E8B4A"/>
          <w:sz w:val="26"/>
          <w:szCs w:val="26"/>
        </w:rPr>
        <w:t xml:space="preserve">Tool used</w:t>
      </w:r>
    </w:p>
    <w:p>
      <w:pPr>
        <w:spacing w:before="80" w:after="100" w:line="360"/>
      </w:pPr>
      <w:r>
        <w:rPr>
          <w:rFonts w:ascii="Arial" w:cs="Arial" w:eastAsia="Arial" w:hAnsi="Arial"/>
          <w:sz w:val="24"/>
          <w:szCs w:val="24"/>
        </w:rPr>
        <w:t xml:space="preserve">I used Canva (canva.com) — a free, browser-based design platform that offers a wide range of professionally designed templates, icons, colour schemes, and layout options. No design experience or software installation was required. The final design was exported as a PNG image and uploaded to the task-1-presentation/ folder in my GitHub repository.</w:t>
      </w:r>
    </w:p>
    <w:p>
      <w:pPr>
        <w:pStyle w:val="Heading2"/>
        <w:spacing w:before="200" w:after="60"/>
      </w:pPr>
      <w:r>
        <w:rPr>
          <w:rFonts w:ascii="Arial" w:cs="Arial" w:eastAsia="Arial" w:hAnsi="Arial"/>
          <w:b/>
          <w:bCs/>
          <w:color w:val="2E8B4A"/>
          <w:sz w:val="26"/>
          <w:szCs w:val="26"/>
        </w:rPr>
        <w:t xml:space="preserve">What the infographic covers</w:t>
      </w:r>
    </w:p>
    <w:p>
      <w:pPr>
        <w:spacing w:before="80" w:after="100" w:line="360"/>
      </w:pPr>
      <w:r>
        <w:rPr>
          <w:rFonts w:ascii="Arial" w:cs="Arial" w:eastAsia="Arial" w:hAnsi="Arial"/>
          <w:sz w:val="24"/>
          <w:szCs w:val="24"/>
        </w:rPr>
        <w:t xml:space="preserve">The infographic covers three key topics from Module 1:</w:t>
      </w:r>
    </w:p>
    <w:p>
      <w:pPr>
        <w:pStyle w:val="ListParagraph"/>
        <w:numPr>
          <w:ilvl w:val="0"/>
          <w:numId w:val="2"/>
        </w:numPr>
        <w:spacing w:before="60" w:after="60" w:line="360"/>
      </w:pPr>
      <w:r>
        <w:rPr>
          <w:rFonts w:ascii="Arial" w:cs="Arial" w:eastAsia="Arial" w:hAnsi="Arial"/>
          <w:sz w:val="24"/>
          <w:szCs w:val="24"/>
        </w:rPr>
        <w:t xml:space="preserve">What digital literacy is — the ability to find, evaluate, create, and communicate information using digital tools, safely, ethically, and responsibly. It is a core 21st-century skill required in every career.</w:t>
      </w:r>
    </w:p>
    <w:p>
      <w:pPr>
        <w:pStyle w:val="ListParagraph"/>
        <w:numPr>
          <w:ilvl w:val="0"/>
          <w:numId w:val="2"/>
        </w:numPr>
        <w:spacing w:before="60" w:after="60" w:line="360"/>
      </w:pPr>
      <w:r>
        <w:rPr>
          <w:rFonts w:ascii="Arial" w:cs="Arial" w:eastAsia="Arial" w:hAnsi="Arial"/>
          <w:sz w:val="24"/>
          <w:szCs w:val="24"/>
        </w:rPr>
        <w:t xml:space="preserve">Professional online presence — why students should build their digital portfolio from Year 1, not Year 4, and how platforms like GitHub, LinkedIn, and Kaggle contribute to a strong and visible professional identity.</w:t>
      </w:r>
    </w:p>
    <w:p>
      <w:pPr>
        <w:pStyle w:val="ListParagraph"/>
        <w:numPr>
          <w:ilvl w:val="0"/>
          <w:numId w:val="2"/>
        </w:numPr>
        <w:spacing w:before="60" w:after="60" w:line="360"/>
      </w:pPr>
      <w:r>
        <w:rPr>
          <w:rFonts w:ascii="Arial" w:cs="Arial" w:eastAsia="Arial" w:hAnsi="Arial"/>
          <w:sz w:val="24"/>
          <w:szCs w:val="24"/>
        </w:rPr>
        <w:t xml:space="preserve">Useful digital tools for students — a visual showcase of six essential free tools: GitHub, LinkedIn, Kaggle, HackerRank, Canva, and Google Workspace, with a brief description of what each one is used for.</w:t>
      </w:r>
    </w:p>
    <w:p>
      <w:pPr>
        <w:pStyle w:val="Heading2"/>
        <w:spacing w:before="200" w:after="60"/>
      </w:pPr>
      <w:r>
        <w:rPr>
          <w:rFonts w:ascii="Arial" w:cs="Arial" w:eastAsia="Arial" w:hAnsi="Arial"/>
          <w:b/>
          <w:bCs/>
          <w:color w:val="2E8B4A"/>
          <w:sz w:val="26"/>
          <w:szCs w:val="26"/>
        </w:rPr>
        <w:t xml:space="preserve">Reflection</w:t>
      </w:r>
    </w:p>
    <w:p>
      <w:pPr>
        <w:spacing w:before="80" w:after="100" w:line="360"/>
      </w:pPr>
      <w:r>
        <w:rPr>
          <w:rFonts w:ascii="Arial" w:cs="Arial" w:eastAsia="Arial" w:hAnsi="Arial"/>
          <w:sz w:val="24"/>
          <w:szCs w:val="24"/>
        </w:rPr>
        <w:t xml:space="preserve">One thing I found particularly interesting while creating this infographic was realising how interconnected all the topics of digital literacy are. Building a professional online presence, using the right tools, communicating safely, and staying secure online are not separate skills — they are all part of the same broader ability to navigate the digital world effectively and responsibly. I also found it challenging to keep the content concise within a single page, which taught me that good design is as much about what you leave out as what you choose to include.</w:t>
      </w:r>
    </w:p>
    <w:p>
      <w:r>
        <w:br/>
      </w:r>
    </w:p>
    <w:p>
      <w:pPr>
        <w:pStyle w:val="Heading1"/>
        <w:spacing w:before="320" w:after="80"/>
      </w:pPr>
      <w:r>
        <w:rPr>
          <w:rFonts w:ascii="Arial" w:cs="Arial" w:eastAsia="Arial" w:hAnsi="Arial"/>
          <w:b/>
          <w:bCs/>
          <w:color w:val="1F4E79"/>
          <w:sz w:val="32"/>
          <w:szCs w:val="32"/>
        </w:rPr>
        <w:t xml:space="preserve">Task 2 — Student Digital Portfolio</w:t>
      </w:r>
    </w:p>
    <w:p>
      <w:pPr>
        <w:pBdr>
          <w:bottom w:val="single" w:color="2E75B6" w:sz="6" w:space="1"/>
        </w:pBd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DEEAF1" w:val="clear"/>
            <w:tcMar>
              <w:top w:type="dxa" w:w="80"/>
              <w:left w:type="dxa" w:w="140"/>
              <w:bottom w:type="dxa" w:w="80"/>
              <w:right w:type="dxa" w:w="140"/>
            </w:tcMar>
          </w:tcPr>
          <w:p>
            <w:r>
              <w:rPr>
                <w:rFonts w:ascii="Arial" w:cs="Arial" w:eastAsia="Arial" w:hAnsi="Arial"/>
                <w:b/>
                <w:bCs/>
                <w:color w:val="1F4E79"/>
                <w:sz w:val="22"/>
                <w:szCs w:val="22"/>
              </w:rPr>
              <w:t xml:space="preserve">Module</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Module 2</w:t>
            </w:r>
          </w:p>
        </w:tc>
      </w:tr>
      <w:tr>
        <w:tc>
          <w:tcPr>
            <w:tcW w:type="dxa" w:w="2600"/>
            <w:tcBorders>
              <w:top w:val="single" w:color="DDDDDD" w:sz="1"/>
              <w:left w:val="single" w:color="DDDDDD" w:sz="1"/>
              <w:bottom w:val="single" w:color="DDDDDD" w:sz="1"/>
              <w:right w:val="single" w:color="DDDDDD" w:sz="1"/>
            </w:tcBorders>
            <w:shd w:fill="DEEAF1" w:val="clear"/>
            <w:tcMar>
              <w:top w:type="dxa" w:w="80"/>
              <w:left w:type="dxa" w:w="140"/>
              <w:bottom w:type="dxa" w:w="80"/>
              <w:right w:type="dxa" w:w="140"/>
            </w:tcMar>
          </w:tcPr>
          <w:p>
            <w:r>
              <w:rPr>
                <w:rFonts w:ascii="Arial" w:cs="Arial" w:eastAsia="Arial" w:hAnsi="Arial"/>
                <w:b/>
                <w:bCs/>
                <w:color w:val="1F4E79"/>
                <w:sz w:val="22"/>
                <w:szCs w:val="22"/>
              </w:rPr>
              <w:t xml:space="preserve">Marks</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20 marks</w:t>
            </w:r>
          </w:p>
        </w:tc>
      </w:tr>
      <w:tr>
        <w:tc>
          <w:tcPr>
            <w:tcW w:type="dxa" w:w="2600"/>
            <w:tcBorders>
              <w:top w:val="single" w:color="DDDDDD" w:sz="1"/>
              <w:left w:val="single" w:color="DDDDDD" w:sz="1"/>
              <w:bottom w:val="single" w:color="DDDDDD" w:sz="1"/>
              <w:right w:val="single" w:color="DDDDDD" w:sz="1"/>
            </w:tcBorders>
            <w:shd w:fill="DEEAF1" w:val="clear"/>
            <w:tcMar>
              <w:top w:type="dxa" w:w="80"/>
              <w:left w:type="dxa" w:w="140"/>
              <w:bottom w:type="dxa" w:w="80"/>
              <w:right w:type="dxa" w:w="140"/>
            </w:tcMar>
          </w:tcPr>
          <w:p>
            <w:r>
              <w:rPr>
                <w:rFonts w:ascii="Arial" w:cs="Arial" w:eastAsia="Arial" w:hAnsi="Arial"/>
                <w:b/>
                <w:bCs/>
                <w:color w:val="1F4E79"/>
                <w:sz w:val="22"/>
                <w:szCs w:val="22"/>
              </w:rPr>
              <w:t xml:space="preserve">Platforms</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GitHub, LinkedIn, Kaggle</w:t>
            </w:r>
          </w:p>
        </w:tc>
      </w:tr>
    </w:tbl>
    <w:p>
      <w:pPr>
        <w:spacing w:before="120" w:after="0"/>
      </w:pPr>
    </w:p>
    <w:p>
      <w:pPr>
        <w:pStyle w:val="Heading2"/>
        <w:spacing w:before="200" w:after="60"/>
      </w:pPr>
      <w:r>
        <w:rPr>
          <w:rFonts w:ascii="Arial" w:cs="Arial" w:eastAsia="Arial" w:hAnsi="Arial"/>
          <w:b/>
          <w:bCs/>
          <w:color w:val="2E75B6"/>
          <w:sz w:val="26"/>
          <w:szCs w:val="26"/>
        </w:rPr>
        <w:t xml:space="preserve">Platforms set up</w:t>
      </w:r>
    </w:p>
    <w:p>
      <w:pPr>
        <w:spacing w:before="80" w:after="100" w:line="360"/>
      </w:pPr>
      <w:r>
        <w:rPr>
          <w:rFonts w:ascii="Arial" w:cs="Arial" w:eastAsia="Arial" w:hAnsi="Arial"/>
          <w:sz w:val="24"/>
          <w:szCs w:val="24"/>
        </w:rPr>
        <w:t xml:space="preserve">For Task 2, I set up professional profiles on three key platforms to build my student digital portfolio:</w:t>
      </w:r>
    </w:p>
    <w:p>
      <w:pPr>
        <w:pStyle w:val="ListParagraph"/>
        <w:numPr>
          <w:ilvl w:val="0"/>
          <w:numId w:val="2"/>
        </w:numPr>
        <w:spacing w:before="60" w:after="60" w:line="360"/>
      </w:pPr>
      <w:r>
        <w:rPr>
          <w:rFonts w:ascii="Arial" w:cs="Arial" w:eastAsia="Arial" w:hAnsi="Arial"/>
          <w:sz w:val="24"/>
          <w:szCs w:val="24"/>
        </w:rPr>
        <w:t xml:space="preserve">GitHub (github.com/[your-username]) — I created a GitHub account and set up a special Profile README — a public-facing introduction visible at the top of my profile page. It includes my name, branch (CSE), year (First Year), and a brief statement about what I hope to learn during my B.Tech degree.</w:t>
      </w:r>
    </w:p>
    <w:p>
      <w:pPr>
        <w:pStyle w:val="ListParagraph"/>
        <w:numPr>
          <w:ilvl w:val="0"/>
          <w:numId w:val="2"/>
        </w:numPr>
        <w:spacing w:before="60" w:after="60" w:line="360"/>
      </w:pPr>
      <w:r>
        <w:rPr>
          <w:rFonts w:ascii="Arial" w:cs="Arial" w:eastAsia="Arial" w:hAnsi="Arial"/>
          <w:sz w:val="24"/>
          <w:szCs w:val="24"/>
        </w:rPr>
        <w:t xml:space="preserve">LinkedIn (linkedin.com/in/[your-profile]) — I created a LinkedIn profile and filled in the Education section with VIT Bhopal University, B.Tech CSE, and my expected graduation year. I used my college email for sign-up to link the profile to my institution.</w:t>
      </w:r>
    </w:p>
    <w:p>
      <w:pPr>
        <w:pStyle w:val="ListParagraph"/>
        <w:numPr>
          <w:ilvl w:val="0"/>
          <w:numId w:val="2"/>
        </w:numPr>
        <w:spacing w:before="60" w:after="60" w:line="360"/>
      </w:pPr>
      <w:r>
        <w:rPr>
          <w:rFonts w:ascii="Arial" w:cs="Arial" w:eastAsia="Arial" w:hAnsi="Arial"/>
          <w:sz w:val="24"/>
          <w:szCs w:val="24"/>
        </w:rPr>
        <w:t xml:space="preserve">Kaggle (kaggle.com/[your-username]) — I created a Kaggle account and completed basic profile setup with my name, institution, and a brief bio. Kaggle is the world’s leading platform for data science practice and competitions.</w:t>
      </w:r>
    </w:p>
    <w:p>
      <w:pPr>
        <w:pStyle w:val="Heading2"/>
        <w:spacing w:before="200" w:after="60"/>
      </w:pPr>
      <w:r>
        <w:rPr>
          <w:rFonts w:ascii="Arial" w:cs="Arial" w:eastAsia="Arial" w:hAnsi="Arial"/>
          <w:b/>
          <w:bCs/>
          <w:color w:val="2E75B6"/>
          <w:sz w:val="26"/>
          <w:szCs w:val="26"/>
        </w:rPr>
        <w:t xml:space="preserve">What each platform is used for</w:t>
      </w:r>
    </w:p>
    <w:p>
      <w:pPr>
        <w:spacing w:before="80" w:after="100" w:line="360"/>
      </w:pPr>
      <w:r>
        <w:rPr>
          <w:rFonts w:ascii="Arial" w:cs="Arial" w:eastAsia="Arial" w:hAnsi="Arial"/>
          <w:sz w:val="24"/>
          <w:szCs w:val="24"/>
        </w:rPr>
        <w:t xml:space="preserve">GitHub is primarily used for version control, storing and sharing code, and collaborating on software projects. It serves as a technical portfolio that employers and internship coordinators check to evaluate a student’s practical programming skills. LinkedIn is the world’s largest professional networking platform, used for discovering internship opportunities, connecting with industry professionals, and building a long-term career identity. Kaggle is used for data science competitions, practising with real-world datasets, earning skill badges, and gaining recognition through leaderboard rankings.</w:t>
      </w:r>
    </w:p>
    <w:p>
      <w:pPr>
        <w:pStyle w:val="Heading2"/>
        <w:spacing w:before="200" w:after="60"/>
      </w:pPr>
      <w:r>
        <w:rPr>
          <w:rFonts w:ascii="Arial" w:cs="Arial" w:eastAsia="Arial" w:hAnsi="Arial"/>
          <w:b/>
          <w:bCs/>
          <w:color w:val="2E75B6"/>
          <w:sz w:val="26"/>
          <w:szCs w:val="26"/>
        </w:rPr>
        <w:t xml:space="preserve">How I plan to use them over the next four years</w:t>
      </w:r>
    </w:p>
    <w:p>
      <w:pPr>
        <w:spacing w:before="80" w:after="100" w:line="360"/>
      </w:pPr>
      <w:r>
        <w:rPr>
          <w:rFonts w:ascii="Arial" w:cs="Arial" w:eastAsia="Arial" w:hAnsi="Arial"/>
          <w:sz w:val="24"/>
          <w:szCs w:val="24"/>
        </w:rPr>
        <w:t xml:space="preserve">Over the next four years, I plan to use GitHub to upload all my coding assignments, mini-projects, and eventually open-source contributions, so that by Year 4 my profile reflects a complete and credible technical portfolio. On LinkedIn, I plan to connect with seniors, professors, and industry professionals from Year 1 and begin actively applying for internships from Year 2. On Kaggle, I plan to participate in beginner-level competitions from Year 2 as I build skills in data science and machine learning, using it to practise applying classroom knowledge to real-world datasets and problems.</w:t>
      </w:r>
    </w:p>
    <w:p>
      <w:r>
        <w:br/>
      </w:r>
    </w:p>
    <w:p>
      <w:pPr>
        <w:pStyle w:val="Heading1"/>
        <w:spacing w:before="320" w:after="80"/>
      </w:pPr>
      <w:r>
        <w:rPr>
          <w:rFonts w:ascii="Arial" w:cs="Arial" w:eastAsia="Arial" w:hAnsi="Arial"/>
          <w:b/>
          <w:bCs/>
          <w:color w:val="4A235A"/>
          <w:sz w:val="32"/>
          <w:szCs w:val="32"/>
        </w:rPr>
        <w:t xml:space="preserve">Task 3 — Coding &amp; Collaboration Platforms</w:t>
      </w:r>
    </w:p>
    <w:p>
      <w:pPr>
        <w:pBdr>
          <w:bottom w:val="single" w:color="7B3FA0" w:sz="6" w:space="1"/>
        </w:pBd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bCs/>
                <w:color w:val="4A235A"/>
                <w:sz w:val="22"/>
                <w:szCs w:val="22"/>
              </w:rPr>
              <w:t xml:space="preserve">Module</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Module 3</w:t>
            </w:r>
          </w:p>
        </w:tc>
      </w:tr>
      <w:tr>
        <w:tc>
          <w:tcPr>
            <w:tcW w:type="dxa" w:w="260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bCs/>
                <w:color w:val="4A235A"/>
                <w:sz w:val="22"/>
                <w:szCs w:val="22"/>
              </w:rPr>
              <w:t xml:space="preserve">Marks</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20 marks</w:t>
            </w:r>
          </w:p>
        </w:tc>
      </w:tr>
      <w:tr>
        <w:tc>
          <w:tcPr>
            <w:tcW w:type="dxa" w:w="260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bCs/>
                <w:color w:val="4A235A"/>
                <w:sz w:val="22"/>
                <w:szCs w:val="22"/>
              </w:rPr>
              <w:t xml:space="preserve">Platforms</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HackerRank, Google Forms, Google Sheets</w:t>
            </w:r>
          </w:p>
        </w:tc>
      </w:tr>
    </w:tbl>
    <w:p>
      <w:pPr>
        <w:spacing w:before="120" w:after="0"/>
      </w:pPr>
    </w:p>
    <w:p>
      <w:pPr>
        <w:pStyle w:val="Heading2"/>
        <w:spacing w:before="200" w:after="60"/>
      </w:pPr>
      <w:r>
        <w:rPr>
          <w:rFonts w:ascii="Arial" w:cs="Arial" w:eastAsia="Arial" w:hAnsi="Arial"/>
          <w:b/>
          <w:bCs/>
          <w:color w:val="4A235A"/>
          <w:sz w:val="26"/>
          <w:szCs w:val="26"/>
        </w:rPr>
        <w:t xml:space="preserve">Part A — Coding practice: HackerRank</w:t>
      </w:r>
    </w:p>
    <w:p>
      <w:pPr>
        <w:spacing w:before="80" w:after="100" w:line="360"/>
      </w:pPr>
      <w:r>
        <w:rPr>
          <w:rFonts w:ascii="Arial" w:cs="Arial" w:eastAsia="Arial" w:hAnsi="Arial"/>
          <w:sz w:val="24"/>
          <w:szCs w:val="24"/>
        </w:rPr>
        <w:t xml:space="preserve">I created an account on HackerRank using my college email and completed the Python Introduction challenge — specifically the “Say Hello, World! With Python” problem, which is the first challenge in HackerRank’s Python practice track. The task involved writing a single print statement, submitting the code, and receiving a green “Accepted” confirmation showing all test cases passed. A screenshot of the completed challenge is included in the task-3-platforms/ folder.</w:t>
      </w:r>
    </w:p>
    <w:p>
      <w:pPr>
        <w:spacing w:before="80" w:after="100" w:line="360"/>
      </w:pPr>
      <w:r>
        <w:rPr>
          <w:rFonts w:ascii="Arial" w:cs="Arial" w:eastAsia="Arial" w:hAnsi="Arial"/>
          <w:sz w:val="24"/>
          <w:szCs w:val="24"/>
        </w:rPr>
        <w:t xml:space="preserve">HackerRank is widely used by companies including Google, Amazon, Microsoft, and Infosys to assess candidates’ coding abilities during hiring. For students, it provides structured, gamified practice problems across Python, Java, Data Structures, and Algorithms, making it an essential platform for building and demonstrating technical skills throughout a B.Tech degree.</w:t>
      </w:r>
    </w:p>
    <w:p>
      <w:pPr>
        <w:pStyle w:val="Heading2"/>
        <w:spacing w:before="200" w:after="60"/>
      </w:pPr>
      <w:r>
        <w:rPr>
          <w:rFonts w:ascii="Arial" w:cs="Arial" w:eastAsia="Arial" w:hAnsi="Arial"/>
          <w:b/>
          <w:bCs/>
          <w:color w:val="4A235A"/>
          <w:sz w:val="26"/>
          <w:szCs w:val="26"/>
        </w:rPr>
        <w:t xml:space="preserve">Part B — Google Forms quiz</w:t>
      </w:r>
    </w:p>
    <w:p>
      <w:pPr>
        <w:spacing w:before="80" w:after="100" w:line="360"/>
      </w:pPr>
      <w:r>
        <w:rPr>
          <w:rFonts w:ascii="Arial" w:cs="Arial" w:eastAsia="Arial" w:hAnsi="Arial"/>
          <w:sz w:val="24"/>
          <w:szCs w:val="24"/>
        </w:rPr>
        <w:t xml:space="preserve">I created a 5-question Digital Literacy Awareness Quiz using Google Forms, titled “Digital Literacy Awareness Quiz.” The quiz is designed to test my batchmates’ knowledge of core digital literacy concepts and includes the following questions:</w:t>
      </w:r>
    </w:p>
    <w:p>
      <w:pPr>
        <w:pStyle w:val="ListParagraph"/>
        <w:numPr>
          <w:ilvl w:val="0"/>
          <w:numId w:val="3"/>
        </w:numPr>
        <w:spacing w:before="60" w:after="60" w:line="360"/>
      </w:pPr>
      <w:r>
        <w:rPr>
          <w:rFonts w:ascii="Arial" w:cs="Arial" w:eastAsia="Arial" w:hAnsi="Arial"/>
          <w:sz w:val="24"/>
          <w:szCs w:val="24"/>
        </w:rPr>
        <w:t xml:space="preserve">What does UPI stand for? (Multiple Choice)</w:t>
      </w:r>
    </w:p>
    <w:p>
      <w:pPr>
        <w:pStyle w:val="ListParagraph"/>
        <w:numPr>
          <w:ilvl w:val="0"/>
          <w:numId w:val="3"/>
        </w:numPr>
        <w:spacing w:before="60" w:after="60" w:line="360"/>
      </w:pPr>
      <w:r>
        <w:rPr>
          <w:rFonts w:ascii="Arial" w:cs="Arial" w:eastAsia="Arial" w:hAnsi="Arial"/>
          <w:sz w:val="24"/>
          <w:szCs w:val="24"/>
        </w:rPr>
        <w:t xml:space="preserve">Which platform is primarily used for storing and sharing code? (Multiple Choice)</w:t>
      </w:r>
    </w:p>
    <w:p>
      <w:pPr>
        <w:pStyle w:val="ListParagraph"/>
        <w:numPr>
          <w:ilvl w:val="0"/>
          <w:numId w:val="3"/>
        </w:numPr>
        <w:spacing w:before="60" w:after="60" w:line="360"/>
      </w:pPr>
      <w:r>
        <w:rPr>
          <w:rFonts w:ascii="Arial" w:cs="Arial" w:eastAsia="Arial" w:hAnsi="Arial"/>
          <w:sz w:val="24"/>
          <w:szCs w:val="24"/>
        </w:rPr>
        <w:t xml:space="preserve">What is digital literacy? (Multiple Choice)</w:t>
      </w:r>
    </w:p>
    <w:p>
      <w:pPr>
        <w:pStyle w:val="ListParagraph"/>
        <w:numPr>
          <w:ilvl w:val="0"/>
          <w:numId w:val="3"/>
        </w:numPr>
        <w:spacing w:before="60" w:after="60" w:line="360"/>
      </w:pPr>
      <w:r>
        <w:rPr>
          <w:rFonts w:ascii="Arial" w:cs="Arial" w:eastAsia="Arial" w:hAnsi="Arial"/>
          <w:sz w:val="24"/>
          <w:szCs w:val="24"/>
        </w:rPr>
        <w:t xml:space="preserve">Name one safe internet practice you follow in your daily life. (Short Answer)</w:t>
      </w:r>
    </w:p>
    <w:p>
      <w:pPr>
        <w:pStyle w:val="ListParagraph"/>
        <w:numPr>
          <w:ilvl w:val="0"/>
          <w:numId w:val="3"/>
        </w:numPr>
        <w:spacing w:before="60" w:after="60" w:line="360"/>
      </w:pPr>
      <w:r>
        <w:rPr>
          <w:rFonts w:ascii="Arial" w:cs="Arial" w:eastAsia="Arial" w:hAnsi="Arial"/>
          <w:sz w:val="24"/>
          <w:szCs w:val="24"/>
        </w:rPr>
        <w:t xml:space="preserve">What would you do if you received a suspicious email asking for your bank details? (Short Answer)</w:t>
      </w:r>
    </w:p>
    <w:p>
      <w:pPr>
        <w:spacing w:before="80" w:after="100" w:line="360"/>
      </w:pPr>
      <w:r>
        <w:rPr>
          <w:rFonts w:ascii="Arial" w:cs="Arial" w:eastAsia="Arial" w:hAnsi="Arial"/>
          <w:sz w:val="24"/>
          <w:szCs w:val="24"/>
        </w:rPr>
        <w:t xml:space="preserve">The form was linked to a Google Sheet by clicking the green Sheets icon in the Responses tab, which automatically creates a spreadsheet to track all responses. Screenshots of both the completed form and the linked response sheet are included in the task-3-platforms/ folder.</w:t>
      </w:r>
    </w:p>
    <w:p>
      <w:pPr>
        <w:pStyle w:val="Heading2"/>
        <w:spacing w:before="200" w:after="60"/>
      </w:pPr>
      <w:r>
        <w:rPr>
          <w:rFonts w:ascii="Arial" w:cs="Arial" w:eastAsia="Arial" w:hAnsi="Arial"/>
          <w:b/>
          <w:bCs/>
          <w:color w:val="4A235A"/>
          <w:sz w:val="26"/>
          <w:szCs w:val="26"/>
        </w:rPr>
        <w:t xml:space="preserve">Reflection</w:t>
      </w:r>
    </w:p>
    <w:p>
      <w:pPr>
        <w:spacing w:before="80" w:after="100" w:line="360"/>
      </w:pPr>
      <w:r>
        <w:rPr>
          <w:rFonts w:ascii="Arial" w:cs="Arial" w:eastAsia="Arial" w:hAnsi="Arial"/>
          <w:sz w:val="24"/>
          <w:szCs w:val="24"/>
        </w:rPr>
        <w:t xml:space="preserve">Completing this task gave me practical familiarity with two categories of digital tools I will use throughout my B.Tech degree. HackerRank showed me there is a structured and rewarding way to improve coding skills incrementally. Even completing one beginner challenge gave me confidence to explore further problems. Building the Google Form was equally engaging — crafting good quiz questions required me to think carefully about what digital literacy actually means and to recall knowledge from all five modules. I plan to complete at least two HackerRank challenges per week and to use Google Forms for club activities, project surveys, and feedback collection throughout college.</w:t>
      </w:r>
    </w:p>
    <w:p>
      <w:r>
        <w:br/>
      </w:r>
    </w:p>
    <w:p>
      <w:pPr>
        <w:pStyle w:val="Heading1"/>
        <w:spacing w:before="320" w:after="80"/>
      </w:pPr>
      <w:r>
        <w:rPr>
          <w:rFonts w:ascii="Arial" w:cs="Arial" w:eastAsia="Arial" w:hAnsi="Arial"/>
          <w:b/>
          <w:bCs/>
          <w:color w:val="7B4F00"/>
          <w:sz w:val="32"/>
          <w:szCs w:val="32"/>
        </w:rPr>
        <w:t xml:space="preserve">Task 4 — Professional Email &amp; Etiquette Guide</w:t>
      </w:r>
    </w:p>
    <w:p>
      <w:pPr>
        <w:pBdr>
          <w:bottom w:val="single" w:color="C27B00" w:sz="6" w:space="1"/>
        </w:pBd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FF3CD" w:val="clear"/>
            <w:tcMar>
              <w:top w:type="dxa" w:w="80"/>
              <w:left w:type="dxa" w:w="140"/>
              <w:bottom w:type="dxa" w:w="80"/>
              <w:right w:type="dxa" w:w="140"/>
            </w:tcMar>
          </w:tcPr>
          <w:p>
            <w:r>
              <w:rPr>
                <w:rFonts w:ascii="Arial" w:cs="Arial" w:eastAsia="Arial" w:hAnsi="Arial"/>
                <w:b/>
                <w:bCs/>
                <w:color w:val="7B4F00"/>
                <w:sz w:val="22"/>
                <w:szCs w:val="22"/>
              </w:rPr>
              <w:t xml:space="preserve">Module</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Module 4</w:t>
            </w:r>
          </w:p>
        </w:tc>
      </w:tr>
      <w:tr>
        <w:tc>
          <w:tcPr>
            <w:tcW w:type="dxa" w:w="2600"/>
            <w:tcBorders>
              <w:top w:val="single" w:color="DDDDDD" w:sz="1"/>
              <w:left w:val="single" w:color="DDDDDD" w:sz="1"/>
              <w:bottom w:val="single" w:color="DDDDDD" w:sz="1"/>
              <w:right w:val="single" w:color="DDDDDD" w:sz="1"/>
            </w:tcBorders>
            <w:shd w:fill="FFF3CD" w:val="clear"/>
            <w:tcMar>
              <w:top w:type="dxa" w:w="80"/>
              <w:left w:type="dxa" w:w="140"/>
              <w:bottom w:type="dxa" w:w="80"/>
              <w:right w:type="dxa" w:w="140"/>
            </w:tcMar>
          </w:tcPr>
          <w:p>
            <w:r>
              <w:rPr>
                <w:rFonts w:ascii="Arial" w:cs="Arial" w:eastAsia="Arial" w:hAnsi="Arial"/>
                <w:b/>
                <w:bCs/>
                <w:color w:val="7B4F00"/>
                <w:sz w:val="22"/>
                <w:szCs w:val="22"/>
              </w:rPr>
              <w:t xml:space="preserve">Marks</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20 marks</w:t>
            </w:r>
          </w:p>
        </w:tc>
      </w:tr>
      <w:tr>
        <w:tc>
          <w:tcPr>
            <w:tcW w:type="dxa" w:w="2600"/>
            <w:tcBorders>
              <w:top w:val="single" w:color="DDDDDD" w:sz="1"/>
              <w:left w:val="single" w:color="DDDDDD" w:sz="1"/>
              <w:bottom w:val="single" w:color="DDDDDD" w:sz="1"/>
              <w:right w:val="single" w:color="DDDDDD" w:sz="1"/>
            </w:tcBorders>
            <w:shd w:fill="FFF3CD" w:val="clear"/>
            <w:tcMar>
              <w:top w:type="dxa" w:w="80"/>
              <w:left w:type="dxa" w:w="140"/>
              <w:bottom w:type="dxa" w:w="80"/>
              <w:right w:type="dxa" w:w="140"/>
            </w:tcMar>
          </w:tcPr>
          <w:p>
            <w:r>
              <w:rPr>
                <w:rFonts w:ascii="Arial" w:cs="Arial" w:eastAsia="Arial" w:hAnsi="Arial"/>
                <w:b/>
                <w:bCs/>
                <w:color w:val="7B4F00"/>
                <w:sz w:val="22"/>
                <w:szCs w:val="22"/>
              </w:rPr>
              <w:t xml:space="preserve">Deliverables</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2 professional email drafts + social media checklist</w:t>
            </w:r>
          </w:p>
        </w:tc>
      </w:tr>
    </w:tbl>
    <w:p>
      <w:pPr>
        <w:spacing w:before="120" w:after="0"/>
      </w:pPr>
    </w:p>
    <w:p>
      <w:pPr>
        <w:pStyle w:val="Heading2"/>
        <w:spacing w:before="200" w:after="60"/>
      </w:pPr>
      <w:r>
        <w:rPr>
          <w:rFonts w:ascii="Arial" w:cs="Arial" w:eastAsia="Arial" w:hAnsi="Arial"/>
          <w:b/>
          <w:bCs/>
          <w:color w:val="7B4F00"/>
          <w:sz w:val="26"/>
          <w:szCs w:val="26"/>
        </w:rPr>
        <w:t xml:space="preserve">Email 1 — Assignment deadline extension request</w:t>
      </w:r>
    </w:p>
    <w:p>
      <w:pPr>
        <w:spacing w:before="80" w:after="100" w:line="360"/>
      </w:pPr>
      <w:r>
        <w:rPr>
          <w:rFonts w:ascii="Arial" w:cs="Arial" w:eastAsia="Arial" w:hAnsi="Arial"/>
          <w:sz w:val="24"/>
          <w:szCs w:val="24"/>
        </w:rPr>
        <w:t xml:space="preserve">The first email was written from a student to their professor requesting a short extension on an assignment submission deadline. The email follows all professional email etiquette rules: a clear and specific subject line including the student’s name and registration number; a formal greeting addressing the professor by name; a concise, polite, and well-structured body paragraph explaining the situation and requesting the extension; and a professional sign-off with the student’s full name, registration number, branch, year, and college email address.</w:t>
      </w:r>
    </w:p>
    <w:p>
      <w:pPr>
        <w:spacing w:before="80" w:after="100" w:line="360"/>
      </w:pPr>
      <w:r>
        <w:rPr>
          <w:rFonts w:ascii="Arial" w:cs="Arial" w:eastAsia="Arial" w:hAnsi="Arial"/>
          <w:sz w:val="24"/>
          <w:szCs w:val="24"/>
        </w:rPr>
        <w:t xml:space="preserve">Subject line: Request for Assignment Submission Extension — [Your Name] — [Reg No.]</w:t>
      </w:r>
    </w:p>
    <w:p>
      <w:pPr>
        <w:pStyle w:val="Heading2"/>
        <w:spacing w:before="200" w:after="60"/>
      </w:pPr>
      <w:r>
        <w:rPr>
          <w:rFonts w:ascii="Arial" w:cs="Arial" w:eastAsia="Arial" w:hAnsi="Arial"/>
          <w:b/>
          <w:bCs/>
          <w:color w:val="7B4F00"/>
          <w:sz w:val="26"/>
          <w:szCs w:val="26"/>
        </w:rPr>
        <w:t xml:space="preserve">Email 2 — Summer internship application</w:t>
      </w:r>
    </w:p>
    <w:p>
      <w:pPr>
        <w:spacing w:before="80" w:after="100" w:line="360"/>
      </w:pPr>
      <w:r>
        <w:rPr>
          <w:rFonts w:ascii="Arial" w:cs="Arial" w:eastAsia="Arial" w:hAnsi="Arial"/>
          <w:sz w:val="24"/>
          <w:szCs w:val="24"/>
        </w:rPr>
        <w:t xml:space="preserve">The second email was written from a student to an internship coordinator at a company expressing interest in a summer internship opportunity. It includes a clear subject line, a formal greeting to the hiring team, a structured body that introduces the student, states their field of interest, explains their motivation and what they hope to contribute, and offers availability for an interview. The email closes with a professional sign-off including name, registration number, institution, email, and phone number.</w:t>
      </w:r>
    </w:p>
    <w:p>
      <w:pPr>
        <w:spacing w:before="80" w:after="100" w:line="360"/>
      </w:pPr>
      <w:r>
        <w:rPr>
          <w:rFonts w:ascii="Arial" w:cs="Arial" w:eastAsia="Arial" w:hAnsi="Arial"/>
          <w:sz w:val="24"/>
          <w:szCs w:val="24"/>
        </w:rPr>
        <w:t xml:space="preserve">Subject line: Application for Summer Internship Opportunity — [Your Name] — B.Tech CSE</w:t>
      </w:r>
    </w:p>
    <w:p>
      <w:pPr>
        <w:pStyle w:val="Heading2"/>
        <w:spacing w:before="200" w:after="60"/>
      </w:pPr>
      <w:r>
        <w:rPr>
          <w:rFonts w:ascii="Arial" w:cs="Arial" w:eastAsia="Arial" w:hAnsi="Arial"/>
          <w:b/>
          <w:bCs/>
          <w:color w:val="7B4F00"/>
          <w:sz w:val="26"/>
          <w:szCs w:val="26"/>
        </w:rPr>
        <w:t xml:space="preserve">Social media Do’s and Don’ts checklist</w:t>
      </w:r>
    </w:p>
    <w:p>
      <w:pPr>
        <w:spacing w:before="80" w:after="100" w:line="360"/>
      </w:pPr>
      <w:r>
        <w:rPr>
          <w:rFonts w:ascii="Arial" w:cs="Arial" w:eastAsia="Arial" w:hAnsi="Arial"/>
          <w:sz w:val="24"/>
          <w:szCs w:val="24"/>
        </w:rPr>
        <w:t xml:space="preserve">A social media etiquette checklist was created for the social-media-checklist.md file with 5 Do’s and 5 Don’ts for responsible social media use as a college student. The Do’s include: thinking before posting, keeping profiles professional, using privacy settings, giving credit when sharing others’ content, and reporting harmful or abusive content. The Don’ts include: sharing personal information publicly, engaging with unknown senders, posting during classes or exams, spreading unverified news, and venting publicly about college, faculty, or classmates.</w:t>
      </w:r>
    </w:p>
    <w:p>
      <w:pPr>
        <w:pStyle w:val="Heading2"/>
        <w:spacing w:before="200" w:after="60"/>
      </w:pPr>
      <w:r>
        <w:rPr>
          <w:rFonts w:ascii="Arial" w:cs="Arial" w:eastAsia="Arial" w:hAnsi="Arial"/>
          <w:b/>
          <w:bCs/>
          <w:color w:val="7B4F00"/>
          <w:sz w:val="26"/>
          <w:szCs w:val="26"/>
        </w:rPr>
        <w:t xml:space="preserve">Reflection</w:t>
      </w:r>
    </w:p>
    <w:p>
      <w:pPr>
        <w:spacing w:before="80" w:after="100" w:line="360"/>
      </w:pPr>
      <w:r>
        <w:rPr>
          <w:rFonts w:ascii="Arial" w:cs="Arial" w:eastAsia="Arial" w:hAnsi="Arial"/>
          <w:sz w:val="24"/>
          <w:szCs w:val="24"/>
        </w:rPr>
        <w:t xml:space="preserve">One real situation where poor digital communication caused a problem involved a college student who sent an informal WhatsApp message to a professor requesting an exam paper re-evaluation. The message used abbreviations, emojis, and a casual tone entirely inappropriate for the context. The professor did not respond and the student’s request was ignored. What should have been done differently: the student should have sent a formal email with a proper subject line, addressed the professor respectfully, explained the concern clearly with relevant details, and signed off professionally. Using the correct channel and the correct tone would have made the request significantly more likely to receive a positive response.</w:t>
      </w:r>
    </w:p>
    <w:p>
      <w:r>
        <w:br/>
      </w:r>
    </w:p>
    <w:p>
      <w:pPr>
        <w:pStyle w:val="Heading1"/>
        <w:spacing w:before="320" w:after="80"/>
      </w:pPr>
      <w:r>
        <w:rPr>
          <w:rFonts w:ascii="Arial" w:cs="Arial" w:eastAsia="Arial" w:hAnsi="Arial"/>
          <w:b/>
          <w:bCs/>
          <w:color w:val="6B0000"/>
          <w:sz w:val="32"/>
          <w:szCs w:val="32"/>
        </w:rPr>
        <w:t xml:space="preserve">Task 5 — Cybercrime Awareness Case Study</w:t>
      </w:r>
    </w:p>
    <w:p>
      <w:pPr>
        <w:pBdr>
          <w:bottom w:val="single" w:color="A32D2D" w:sz="6" w:space="1"/>
        </w:pBd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CEBEB" w:val="clear"/>
            <w:tcMar>
              <w:top w:type="dxa" w:w="80"/>
              <w:left w:type="dxa" w:w="140"/>
              <w:bottom w:type="dxa" w:w="80"/>
              <w:right w:type="dxa" w:w="140"/>
            </w:tcMar>
          </w:tcPr>
          <w:p>
            <w:r>
              <w:rPr>
                <w:rFonts w:ascii="Arial" w:cs="Arial" w:eastAsia="Arial" w:hAnsi="Arial"/>
                <w:b/>
                <w:bCs/>
                <w:color w:val="6B0000"/>
                <w:sz w:val="22"/>
                <w:szCs w:val="22"/>
              </w:rPr>
              <w:t xml:space="preserve">Module</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Module 5</w:t>
            </w:r>
          </w:p>
        </w:tc>
      </w:tr>
      <w:tr>
        <w:tc>
          <w:tcPr>
            <w:tcW w:type="dxa" w:w="2600"/>
            <w:tcBorders>
              <w:top w:val="single" w:color="DDDDDD" w:sz="1"/>
              <w:left w:val="single" w:color="DDDDDD" w:sz="1"/>
              <w:bottom w:val="single" w:color="DDDDDD" w:sz="1"/>
              <w:right w:val="single" w:color="DDDDDD" w:sz="1"/>
            </w:tcBorders>
            <w:shd w:fill="FCEBEB" w:val="clear"/>
            <w:tcMar>
              <w:top w:type="dxa" w:w="80"/>
              <w:left w:type="dxa" w:w="140"/>
              <w:bottom w:type="dxa" w:w="80"/>
              <w:right w:type="dxa" w:w="140"/>
            </w:tcMar>
          </w:tcPr>
          <w:p>
            <w:r>
              <w:rPr>
                <w:rFonts w:ascii="Arial" w:cs="Arial" w:eastAsia="Arial" w:hAnsi="Arial"/>
                <w:b/>
                <w:bCs/>
                <w:color w:val="6B0000"/>
                <w:sz w:val="22"/>
                <w:szCs w:val="22"/>
              </w:rPr>
              <w:t xml:space="preserve">Marks</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20 marks</w:t>
            </w:r>
          </w:p>
        </w:tc>
      </w:tr>
      <w:tr>
        <w:tc>
          <w:tcPr>
            <w:tcW w:type="dxa" w:w="2600"/>
            <w:tcBorders>
              <w:top w:val="single" w:color="DDDDDD" w:sz="1"/>
              <w:left w:val="single" w:color="DDDDDD" w:sz="1"/>
              <w:bottom w:val="single" w:color="DDDDDD" w:sz="1"/>
              <w:right w:val="single" w:color="DDDDDD" w:sz="1"/>
            </w:tcBorders>
            <w:shd w:fill="FCEBEB" w:val="clear"/>
            <w:tcMar>
              <w:top w:type="dxa" w:w="80"/>
              <w:left w:type="dxa" w:w="140"/>
              <w:bottom w:type="dxa" w:w="80"/>
              <w:right w:type="dxa" w:w="140"/>
            </w:tcMar>
          </w:tcPr>
          <w:p>
            <w:r>
              <w:rPr>
                <w:rFonts w:ascii="Arial" w:cs="Arial" w:eastAsia="Arial" w:hAnsi="Arial"/>
                <w:b/>
                <w:bCs/>
                <w:color w:val="6B0000"/>
                <w:sz w:val="22"/>
                <w:szCs w:val="22"/>
              </w:rPr>
              <w:t xml:space="preserve">Topic</w:t>
            </w:r>
          </w:p>
        </w:tc>
        <w:tc>
          <w:tcPr>
            <w:tcW w:type="dxa" w:w="6426"/>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sz w:val="22"/>
                <w:szCs w:val="22"/>
              </w:rPr>
              <w:t xml:space="preserve">UPI / Online Payment Fraud</w:t>
            </w:r>
          </w:p>
        </w:tc>
      </w:tr>
    </w:tbl>
    <w:p>
      <w:pPr>
        <w:spacing w:before="120" w:after="0"/>
      </w:pPr>
    </w:p>
    <w:p>
      <w:pPr>
        <w:pStyle w:val="Heading2"/>
        <w:spacing w:before="200" w:after="60"/>
      </w:pPr>
      <w:r>
        <w:rPr>
          <w:rFonts w:ascii="Arial" w:cs="Arial" w:eastAsia="Arial" w:hAnsi="Arial"/>
          <w:b/>
          <w:bCs/>
          <w:color w:val="6B0000"/>
          <w:sz w:val="26"/>
          <w:szCs w:val="26"/>
        </w:rPr>
        <w:t xml:space="preserve">Case study — UPI / Online payment fraud</w:t>
      </w:r>
    </w:p>
    <w:p>
      <w:pPr>
        <w:spacing w:before="80" w:after="100" w:line="360"/>
      </w:pPr>
      <w:r>
        <w:rPr>
          <w:rFonts w:ascii="Arial" w:cs="Arial" w:eastAsia="Arial" w:hAnsi="Arial"/>
          <w:sz w:val="24"/>
          <w:szCs w:val="24"/>
        </w:rPr>
        <w:t xml:space="preserve">UPI (Unified Payments Interface) fraud is a type of cybercrime in which fraudsters trick victims into authorising illegal money transfers through their UPI-linked bank accounts. It is one of the fastest-growing financial crimes in India, with college students and young adults being among the most frequently targeted groups due to their relatively recent adoption of digital payments and lower awareness of fraud patterns.</w:t>
      </w:r>
    </w:p>
    <w:p>
      <w:pPr>
        <w:spacing w:before="80" w:after="100" w:line="360"/>
      </w:pPr>
      <w:r>
        <w:rPr>
          <w:rFonts w:ascii="Arial" w:cs="Arial" w:eastAsia="Arial" w:hAnsi="Arial"/>
          <w:sz w:val="24"/>
          <w:szCs w:val="24"/>
        </w:rPr>
        <w:t xml:space="preserve">The crime typically unfolds in five steps: the fraudster contacts the victim via phone, WhatsApp, or SMS posing as a bank representative or government official; they claim there is an urgent issue requiring immediate resolution; they send a collect request on the victim’s UPI app disguised as a refund or verification step; the victim enters their UPI PIN believing they are completing a verification — which actually authorises a payment out of their account; and the money is instantly transferred and cannot be reversed.</w:t>
      </w:r>
    </w:p>
    <w:p>
      <w:pPr>
        <w:spacing w:before="80" w:after="100" w:line="360"/>
      </w:pPr>
      <w:r>
        <w:rPr>
          <w:rFonts w:ascii="Arial" w:cs="Arial" w:eastAsia="Arial" w:hAnsi="Arial"/>
          <w:sz w:val="24"/>
          <w:szCs w:val="24"/>
        </w:rPr>
        <w:t xml:space="preserve">Victims are typically first-time UPI users, college students new to digital payments, people who have recently listed items for sale online, or individuals who received unsolicited job offers. Consequences include irreversible financial loss, compromise of personal and banking data, significant psychological stress, and in severe cases the loss of an entire bank balance in one transaction.</w:t>
      </w:r>
    </w:p>
    <w:p>
      <w:pPr>
        <w:pStyle w:val="Heading2"/>
        <w:spacing w:before="200" w:after="60"/>
      </w:pPr>
      <w:r>
        <w:rPr>
          <w:rFonts w:ascii="Arial" w:cs="Arial" w:eastAsia="Arial" w:hAnsi="Arial"/>
          <w:b/>
          <w:bCs/>
          <w:color w:val="6B0000"/>
          <w:sz w:val="26"/>
          <w:szCs w:val="26"/>
        </w:rPr>
        <w:t xml:space="preserve">Stay safe online — prevention checklist</w:t>
      </w:r>
    </w:p>
    <w:p>
      <w:pPr>
        <w:spacing w:before="80" w:after="100" w:line="360"/>
      </w:pPr>
      <w:r>
        <w:rPr>
          <w:rFonts w:ascii="Arial" w:cs="Arial" w:eastAsia="Arial" w:hAnsi="Arial"/>
          <w:sz w:val="24"/>
          <w:szCs w:val="24"/>
        </w:rPr>
        <w:t xml:space="preserve">The following 8 actionable prevention tips were developed specifically for Indian college students:</w:t>
      </w:r>
    </w:p>
    <w:p>
      <w:pPr>
        <w:pStyle w:val="ListParagraph"/>
        <w:numPr>
          <w:ilvl w:val="0"/>
          <w:numId w:val="3"/>
        </w:numPr>
        <w:spacing w:before="60" w:after="60" w:line="360"/>
      </w:pPr>
      <w:r>
        <w:rPr>
          <w:rFonts w:ascii="Arial" w:cs="Arial" w:eastAsia="Arial" w:hAnsi="Arial"/>
          <w:sz w:val="24"/>
          <w:szCs w:val="24"/>
        </w:rPr>
        <w:t xml:space="preserve">Never share your UPI PIN with anyone — not even bank representatives, customer care agents, or government officials. Your PIN authorises payments and no legitimate service ever requires it.</w:t>
      </w:r>
    </w:p>
    <w:p>
      <w:pPr>
        <w:pStyle w:val="ListParagraph"/>
        <w:numPr>
          <w:ilvl w:val="0"/>
          <w:numId w:val="3"/>
        </w:numPr>
        <w:spacing w:before="60" w:after="60" w:line="360"/>
      </w:pPr>
      <w:r>
        <w:rPr>
          <w:rFonts w:ascii="Arial" w:cs="Arial" w:eastAsia="Arial" w:hAnsi="Arial"/>
          <w:sz w:val="24"/>
          <w:szCs w:val="24"/>
        </w:rPr>
        <w:t xml:space="preserve">Never enter your UPI PIN to receive money. Collecting a payment requires no PIN. If asked to enter your PIN to receive a refund or prize, it is a scam — hang up immediately.</w:t>
      </w:r>
    </w:p>
    <w:p>
      <w:pPr>
        <w:pStyle w:val="ListParagraph"/>
        <w:numPr>
          <w:ilvl w:val="0"/>
          <w:numId w:val="3"/>
        </w:numPr>
        <w:spacing w:before="60" w:after="60" w:line="360"/>
      </w:pPr>
      <w:r>
        <w:rPr>
          <w:rFonts w:ascii="Arial" w:cs="Arial" w:eastAsia="Arial" w:hAnsi="Arial"/>
          <w:sz w:val="24"/>
          <w:szCs w:val="24"/>
        </w:rPr>
        <w:t xml:space="preserve">Set a daily UPI transaction limit in your banking app to cap the maximum potential loss in the event of fraud.</w:t>
      </w:r>
    </w:p>
    <w:p>
      <w:pPr>
        <w:pStyle w:val="ListParagraph"/>
        <w:numPr>
          <w:ilvl w:val="0"/>
          <w:numId w:val="3"/>
        </w:numPr>
        <w:spacing w:before="60" w:after="60" w:line="360"/>
      </w:pPr>
      <w:r>
        <w:rPr>
          <w:rFonts w:ascii="Arial" w:cs="Arial" w:eastAsia="Arial" w:hAnsi="Arial"/>
          <w:sz w:val="24"/>
          <w:szCs w:val="24"/>
        </w:rPr>
        <w:t xml:space="preserve">Enable two-factor authentication (2FA) on all banking and payment apps. Use biometric lock wherever available.</w:t>
      </w:r>
    </w:p>
    <w:p>
      <w:pPr>
        <w:pStyle w:val="ListParagraph"/>
        <w:numPr>
          <w:ilvl w:val="0"/>
          <w:numId w:val="3"/>
        </w:numPr>
        <w:spacing w:before="60" w:after="60" w:line="360"/>
      </w:pPr>
      <w:r>
        <w:rPr>
          <w:rFonts w:ascii="Arial" w:cs="Arial" w:eastAsia="Arial" w:hAnsi="Arial"/>
          <w:sz w:val="24"/>
          <w:szCs w:val="24"/>
        </w:rPr>
        <w:t xml:space="preserve">Use strong, unique passwords for every account. Never reuse the same password across banking, email, and social media platforms.</w:t>
      </w:r>
    </w:p>
    <w:p>
      <w:pPr>
        <w:pStyle w:val="ListParagraph"/>
        <w:numPr>
          <w:ilvl w:val="0"/>
          <w:numId w:val="3"/>
        </w:numPr>
        <w:spacing w:before="60" w:after="60" w:line="360"/>
      </w:pPr>
      <w:r>
        <w:rPr>
          <w:rFonts w:ascii="Arial" w:cs="Arial" w:eastAsia="Arial" w:hAnsi="Arial"/>
          <w:sz w:val="24"/>
          <w:szCs w:val="24"/>
        </w:rPr>
        <w:t xml:space="preserve">Download banking and UPI apps only from the official Google Play Store or Apple App Store. Never install APK files shared via WhatsApp or unknown websites.</w:t>
      </w:r>
    </w:p>
    <w:p>
      <w:pPr>
        <w:pStyle w:val="ListParagraph"/>
        <w:numPr>
          <w:ilvl w:val="0"/>
          <w:numId w:val="3"/>
        </w:numPr>
        <w:spacing w:before="60" w:after="60" w:line="360"/>
      </w:pPr>
      <w:r>
        <w:rPr>
          <w:rFonts w:ascii="Arial" w:cs="Arial" w:eastAsia="Arial" w:hAnsi="Arial"/>
          <w:sz w:val="24"/>
          <w:szCs w:val="24"/>
        </w:rPr>
        <w:t xml:space="preserve">Never click on links in SMS or WhatsApp messages claiming to be from your bank. Always access banking services directly through official apps or websites.</w:t>
      </w:r>
    </w:p>
    <w:p>
      <w:pPr>
        <w:pStyle w:val="ListParagraph"/>
        <w:numPr>
          <w:ilvl w:val="0"/>
          <w:numId w:val="3"/>
        </w:numPr>
        <w:spacing w:before="60" w:after="60" w:line="360"/>
      </w:pPr>
      <w:r>
        <w:rPr>
          <w:rFonts w:ascii="Arial" w:cs="Arial" w:eastAsia="Arial" w:hAnsi="Arial"/>
          <w:sz w:val="24"/>
          <w:szCs w:val="24"/>
        </w:rPr>
        <w:t xml:space="preserve">If you suspect fraud or have been scammed, report immediately at cybercrime.gov.in or call the National Cyber Crime Helpline: 1930 (available 24x7, toll-free).</w:t>
      </w:r>
    </w:p>
    <w:p>
      <w:pPr>
        <w:pStyle w:val="Heading2"/>
        <w:spacing w:before="200" w:after="60"/>
      </w:pPr>
      <w:r>
        <w:rPr>
          <w:rFonts w:ascii="Arial" w:cs="Arial" w:eastAsia="Arial" w:hAnsi="Arial"/>
          <w:b/>
          <w:bCs/>
          <w:color w:val="6B0000"/>
          <w:sz w:val="26"/>
          <w:szCs w:val="26"/>
        </w:rPr>
        <w:t xml:space="preserve">Reflection</w:t>
      </w:r>
    </w:p>
    <w:p>
      <w:pPr>
        <w:spacing w:before="80" w:after="100" w:line="360"/>
      </w:pPr>
      <w:r>
        <w:rPr>
          <w:rFonts w:ascii="Arial" w:cs="Arial" w:eastAsia="Arial" w:hAnsi="Arial"/>
          <w:sz w:val="24"/>
          <w:szCs w:val="24"/>
        </w:rPr>
        <w:t xml:space="preserve">What surprised me most while researching this topic was how simple and devastatingly effective UPI fraud tactics are. The entire scam relies on one misconception — that entering a UPI PIN is a verification step rather than a payment authorisation. This means that awareness and education are the most powerful tools available to prevent this crime, more than any technological safeguard alone. One habit I will personally change as a result of this research is to never engage with unsolicited calls or messages about my bank account. If I receive such a call, I will hang up immediately and contact my bank’s official customer care number to verify whether there is any genuine issue.</w:t>
      </w:r>
    </w:p>
    <w:p>
      <w:r>
        <w:br/>
      </w:r>
    </w:p>
    <w:p>
      <w:pPr>
        <w:pStyle w:val="Heading1"/>
        <w:spacing w:before="320" w:after="80"/>
      </w:pPr>
      <w:r>
        <w:rPr>
          <w:rFonts w:ascii="Arial" w:cs="Arial" w:eastAsia="Arial" w:hAnsi="Arial"/>
          <w:b/>
          <w:bCs/>
          <w:color w:val="1F4E79"/>
          <w:sz w:val="32"/>
          <w:szCs w:val="32"/>
        </w:rPr>
        <w:t xml:space="preserve">Conclusion</w:t>
      </w:r>
    </w:p>
    <w:p>
      <w:pPr>
        <w:pBdr>
          <w:bottom w:val="single" w:color="1F4E79" w:sz="6" w:space="1"/>
        </w:pBdr>
        <w:spacing w:before="120" w:after="120"/>
      </w:pPr>
    </w:p>
    <w:p>
      <w:pPr>
        <w:spacing w:before="80" w:after="100" w:line="360"/>
      </w:pPr>
      <w:r>
        <w:rPr>
          <w:rFonts w:ascii="Arial" w:cs="Arial" w:eastAsia="Arial" w:hAnsi="Arial"/>
          <w:sz w:val="24"/>
          <w:szCs w:val="24"/>
        </w:rPr>
        <w:t xml:space="preserve">This project has been one of the most practically valuable activities of my first year at VIT Bhopal University. Unlike most academic assignments, the five tasks here required me to actually do things in the digital world — set up real profiles, design a real infographic, build a real quiz, write real professional emails, and research a real cybercrime that affects thousands of students in India every year.</w:t>
      </w:r>
    </w:p>
    <w:p>
      <w:pPr>
        <w:spacing w:before="80" w:after="100" w:line="360"/>
      </w:pPr>
      <w:r>
        <w:rPr>
          <w:rFonts w:ascii="Arial" w:cs="Arial" w:eastAsia="Arial" w:hAnsi="Arial"/>
          <w:sz w:val="24"/>
          <w:szCs w:val="24"/>
        </w:rPr>
        <w:t xml:space="preserve">The most important takeaway from this project is that digital literacy is not a technical skill reserved for computer science students — it is a fundamental life skill for anyone who uses the internet. How you present yourself online, how you communicate digitally, how you protect your data, and which tools you choose to learn and use — these decisions shape your academic experience, your career opportunities, and your personal safety every single day.</w:t>
      </w:r>
    </w:p>
    <w:p>
      <w:pPr>
        <w:spacing w:before="80" w:after="100" w:line="360"/>
      </w:pPr>
      <w:r>
        <w:rPr>
          <w:rFonts w:ascii="Arial" w:cs="Arial" w:eastAsia="Arial" w:hAnsi="Arial"/>
          <w:sz w:val="24"/>
          <w:szCs w:val="24"/>
        </w:rPr>
        <w:t xml:space="preserve">I began this project assuming that building a digital portfolio was something I would do in my final year before placements. I now understand that every profile I set up, every project I upload to GitHub, every professional email I write, and every safe digital habit I build from Year 1 onwards is a foundation for the professional identity I will carry into the workforce. The habits formed today will define the opportunities available four years from now.</w:t>
      </w:r>
    </w:p>
    <w:p>
      <w:pPr>
        <w:spacing w:before="120" w:after="0"/>
      </w:pPr>
    </w:p>
    <w:p>
      <w:pPr>
        <w:pStyle w:val="Heading1"/>
        <w:spacing w:before="320" w:after="80"/>
      </w:pPr>
      <w:r>
        <w:rPr>
          <w:rFonts w:ascii="Arial" w:cs="Arial" w:eastAsia="Arial" w:hAnsi="Arial"/>
          <w:b/>
          <w:bCs/>
          <w:color w:val="1F4E79"/>
          <w:sz w:val="32"/>
          <w:szCs w:val="32"/>
        </w:rPr>
        <w:t xml:space="preserve">References</w:t>
      </w:r>
    </w:p>
    <w:p>
      <w:pPr>
        <w:pBdr>
          <w:bottom w:val="single" w:color="1F4E79" w:sz="6" w:space="1"/>
        </w:pBdr>
        <w:spacing w:before="120" w:after="120"/>
      </w:pPr>
    </w:p>
    <w:p>
      <w:pPr>
        <w:pStyle w:val="ListParagraph"/>
        <w:numPr>
          <w:ilvl w:val="0"/>
          <w:numId w:val="2"/>
        </w:numPr>
        <w:spacing w:before="60" w:after="60" w:line="360"/>
      </w:pPr>
      <w:r>
        <w:rPr>
          <w:rFonts w:ascii="Arial" w:cs="Arial" w:eastAsia="Arial" w:hAnsi="Arial"/>
          <w:sz w:val="24"/>
          <w:szCs w:val="24"/>
        </w:rPr>
        <w:t xml:space="preserve">VIT Bhopal University — CSE0001 Digital Literacy Course Material and Project Brief</w:t>
      </w:r>
    </w:p>
    <w:p>
      <w:pPr>
        <w:pStyle w:val="ListParagraph"/>
        <w:numPr>
          <w:ilvl w:val="0"/>
          <w:numId w:val="2"/>
        </w:numPr>
        <w:spacing w:before="60" w:after="60" w:line="360"/>
      </w:pPr>
      <w:r>
        <w:rPr>
          <w:rFonts w:ascii="Arial" w:cs="Arial" w:eastAsia="Arial" w:hAnsi="Arial"/>
          <w:sz w:val="24"/>
          <w:szCs w:val="24"/>
        </w:rPr>
        <w:t xml:space="preserve">Canva — https://canva.com</w:t>
      </w:r>
    </w:p>
    <w:p>
      <w:pPr>
        <w:pStyle w:val="ListParagraph"/>
        <w:numPr>
          <w:ilvl w:val="0"/>
          <w:numId w:val="2"/>
        </w:numPr>
        <w:spacing w:before="60" w:after="60" w:line="360"/>
      </w:pPr>
      <w:r>
        <w:rPr>
          <w:rFonts w:ascii="Arial" w:cs="Arial" w:eastAsia="Arial" w:hAnsi="Arial"/>
          <w:sz w:val="24"/>
          <w:szCs w:val="24"/>
        </w:rPr>
        <w:t xml:space="preserve">GitHub Documentation — https://docs.github.com</w:t>
      </w:r>
    </w:p>
    <w:p>
      <w:pPr>
        <w:pStyle w:val="ListParagraph"/>
        <w:numPr>
          <w:ilvl w:val="0"/>
          <w:numId w:val="2"/>
        </w:numPr>
        <w:spacing w:before="60" w:after="60" w:line="360"/>
      </w:pPr>
      <w:r>
        <w:rPr>
          <w:rFonts w:ascii="Arial" w:cs="Arial" w:eastAsia="Arial" w:hAnsi="Arial"/>
          <w:sz w:val="24"/>
          <w:szCs w:val="24"/>
        </w:rPr>
        <w:t xml:space="preserve">LinkedIn Help Centre — https://linkedin.com/help</w:t>
      </w:r>
    </w:p>
    <w:p>
      <w:pPr>
        <w:pStyle w:val="ListParagraph"/>
        <w:numPr>
          <w:ilvl w:val="0"/>
          <w:numId w:val="2"/>
        </w:numPr>
        <w:spacing w:before="60" w:after="60" w:line="360"/>
      </w:pPr>
      <w:r>
        <w:rPr>
          <w:rFonts w:ascii="Arial" w:cs="Arial" w:eastAsia="Arial" w:hAnsi="Arial"/>
          <w:sz w:val="24"/>
          <w:szCs w:val="24"/>
        </w:rPr>
        <w:t xml:space="preserve">Kaggle — https://kaggle.com</w:t>
      </w:r>
    </w:p>
    <w:p>
      <w:pPr>
        <w:pStyle w:val="ListParagraph"/>
        <w:numPr>
          <w:ilvl w:val="0"/>
          <w:numId w:val="2"/>
        </w:numPr>
        <w:spacing w:before="60" w:after="60" w:line="360"/>
      </w:pPr>
      <w:r>
        <w:rPr>
          <w:rFonts w:ascii="Arial" w:cs="Arial" w:eastAsia="Arial" w:hAnsi="Arial"/>
          <w:sz w:val="24"/>
          <w:szCs w:val="24"/>
        </w:rPr>
        <w:t xml:space="preserve">HackerRank — https://hackerrank.com</w:t>
      </w:r>
    </w:p>
    <w:p>
      <w:pPr>
        <w:pStyle w:val="ListParagraph"/>
        <w:numPr>
          <w:ilvl w:val="0"/>
          <w:numId w:val="2"/>
        </w:numPr>
        <w:spacing w:before="60" w:after="60" w:line="360"/>
      </w:pPr>
      <w:r>
        <w:rPr>
          <w:rFonts w:ascii="Arial" w:cs="Arial" w:eastAsia="Arial" w:hAnsi="Arial"/>
          <w:sz w:val="24"/>
          <w:szCs w:val="24"/>
        </w:rPr>
        <w:t xml:space="preserve">Google Forms — https://forms.google.com</w:t>
      </w:r>
    </w:p>
    <w:p>
      <w:pPr>
        <w:pStyle w:val="ListParagraph"/>
        <w:numPr>
          <w:ilvl w:val="0"/>
          <w:numId w:val="2"/>
        </w:numPr>
        <w:spacing w:before="60" w:after="60" w:line="360"/>
      </w:pPr>
      <w:r>
        <w:rPr>
          <w:rFonts w:ascii="Arial" w:cs="Arial" w:eastAsia="Arial" w:hAnsi="Arial"/>
          <w:sz w:val="24"/>
          <w:szCs w:val="24"/>
        </w:rPr>
        <w:t xml:space="preserve">National Cyber Crime Portal, Government of India — https://cybercrime.gov.in</w:t>
      </w:r>
    </w:p>
    <w:p>
      <w:pPr>
        <w:pStyle w:val="ListParagraph"/>
        <w:numPr>
          <w:ilvl w:val="0"/>
          <w:numId w:val="2"/>
        </w:numPr>
        <w:spacing w:before="60" w:after="60" w:line="360"/>
      </w:pPr>
      <w:r>
        <w:rPr>
          <w:rFonts w:ascii="Arial" w:cs="Arial" w:eastAsia="Arial" w:hAnsi="Arial"/>
          <w:sz w:val="24"/>
          <w:szCs w:val="24"/>
        </w:rPr>
        <w:t xml:space="preserve">National Cyber Crime Helpline — 1930 (Ministry of Home Affairs, Government of India)</w:t>
      </w:r>
    </w:p>
    <w:p>
      <w:pPr>
        <w:spacing w:before="120" w:after="0"/>
      </w:pPr>
    </w:p>
    <w:p>
      <w:pPr>
        <w:pBdr>
          <w:bottom w:val="single" w:color="2E75B6" w:sz="6" w:space="1"/>
        </w:pBdr>
        <w:spacing w:before="120" w:after="120"/>
      </w:pPr>
    </w:p>
    <w:p>
      <w:pPr>
        <w:spacing w:before="140"/>
        <w:jc w:val="center"/>
      </w:pPr>
      <w:r>
        <w:rPr>
          <w:rFonts w:ascii="Arial" w:cs="Arial" w:eastAsia="Arial" w:hAnsi="Arial"/>
          <w:i/>
          <w:iCs/>
          <w:color w:val="888888"/>
          <w:sz w:val="20"/>
          <w:szCs w:val="20"/>
        </w:rPr>
        <w:t xml:space="preserve">End of Project Report — CSE0001 Digital Literacy | VIT Bhopal University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8"/>
        <w:szCs w:val="18"/>
      </w:rPr>
      <w:t xml:space="preserve">CSE0001 — Digital Literacy Project Report | VIT Bhopal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8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2026-03-20T18:26:02.419Z</dcterms:created>
  <dcterms:modified xsi:type="dcterms:W3CDTF">2026-03-20T18:26:02.420Z</dcterms:modified>
</cp:coreProperties>
</file>

<file path=docProps/custom.xml><?xml version="1.0" encoding="utf-8"?>
<Properties xmlns="http://schemas.openxmlformats.org/officeDocument/2006/custom-properties" xmlns:vt="http://schemas.openxmlformats.org/officeDocument/2006/docPropsVTypes"/>
</file>