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E59A2" w14:textId="48D3040E" w:rsidR="00575461" w:rsidRDefault="00C1487C">
      <w:r>
        <w:rPr>
          <w:noProof/>
        </w:rPr>
        <w:drawing>
          <wp:inline distT="0" distB="0" distL="0" distR="0" wp14:anchorId="45B148BC" wp14:editId="2EC9DE58">
            <wp:extent cx="4178300" cy="2762250"/>
            <wp:effectExtent l="0" t="0" r="12700" b="0"/>
            <wp:docPr id="1" name="Chart 1">
              <a:extLst xmlns:a="http://schemas.openxmlformats.org/drawingml/2006/main">
                <a:ext uri="{FF2B5EF4-FFF2-40B4-BE49-F238E27FC236}">
                  <a16:creationId xmlns:a16="http://schemas.microsoft.com/office/drawing/2014/main" id="{8361211D-8DE2-4392-A9F9-A76A0BD5E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4F61D4" w14:textId="1A68EC91" w:rsidR="00C1487C" w:rsidRDefault="00C1487C"/>
    <w:p w14:paraId="46483564" w14:textId="2093B9F7" w:rsidR="00C1487C" w:rsidRDefault="00C1487C">
      <w:r>
        <w:rPr>
          <w:noProof/>
        </w:rPr>
        <w:drawing>
          <wp:inline distT="0" distB="0" distL="0" distR="0" wp14:anchorId="7718E107" wp14:editId="00E58F24">
            <wp:extent cx="5067300" cy="2635250"/>
            <wp:effectExtent l="0" t="0" r="0" b="12700"/>
            <wp:docPr id="2" name="Chart 2">
              <a:extLst xmlns:a="http://schemas.openxmlformats.org/drawingml/2006/main">
                <a:ext uri="{FF2B5EF4-FFF2-40B4-BE49-F238E27FC236}">
                  <a16:creationId xmlns:a16="http://schemas.microsoft.com/office/drawing/2014/main" id="{09C4D6F8-EC23-44EE-A6D2-4496BEE61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5207EE" w14:textId="44D6BF7F" w:rsidR="00C1487C" w:rsidRDefault="00C1487C"/>
    <w:p w14:paraId="7D7D4173" w14:textId="25877FC6" w:rsidR="00C1487C" w:rsidRDefault="00C1487C">
      <w:r>
        <w:rPr>
          <w:noProof/>
        </w:rPr>
        <w:drawing>
          <wp:inline distT="0" distB="0" distL="0" distR="0" wp14:anchorId="5B9E1FD7" wp14:editId="4A89D22C">
            <wp:extent cx="4572000" cy="2743200"/>
            <wp:effectExtent l="0" t="0" r="0" b="0"/>
            <wp:docPr id="3" name="Chart 3">
              <a:extLst xmlns:a="http://schemas.openxmlformats.org/drawingml/2006/main">
                <a:ext uri="{FF2B5EF4-FFF2-40B4-BE49-F238E27FC236}">
                  <a16:creationId xmlns:a16="http://schemas.microsoft.com/office/drawing/2014/main" id="{20BFAEF5-B6BE-498A-8E49-ED13E6888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3D9C08" w14:textId="27E355CD" w:rsidR="00C1487C" w:rsidRDefault="00C1487C"/>
    <w:p w14:paraId="66274E4A" w14:textId="77777777" w:rsidR="00E15EC5" w:rsidRDefault="00C1487C" w:rsidP="00C1487C">
      <w:pPr>
        <w:pStyle w:val="ListParagraph"/>
        <w:numPr>
          <w:ilvl w:val="0"/>
          <w:numId w:val="1"/>
        </w:numPr>
      </w:pPr>
      <w:r>
        <w:t xml:space="preserve">Based </w:t>
      </w:r>
      <w:r w:rsidR="00E15EC5">
        <w:t>off</w:t>
      </w:r>
      <w:r>
        <w:t xml:space="preserve"> the data, we can conclude that</w:t>
      </w:r>
      <w:r w:rsidR="00E15EC5">
        <w:t xml:space="preserve"> </w:t>
      </w:r>
      <w:r w:rsidR="00E15EC5" w:rsidRPr="00E15EC5">
        <w:rPr>
          <w:b/>
          <w:bCs/>
        </w:rPr>
        <w:t>film &amp; video</w:t>
      </w:r>
      <w:r w:rsidR="00E15EC5">
        <w:t>,</w:t>
      </w:r>
      <w:r w:rsidR="00E15EC5">
        <w:rPr>
          <w:b/>
          <w:bCs/>
        </w:rPr>
        <w:t xml:space="preserve"> music</w:t>
      </w:r>
      <w:r w:rsidR="00E15EC5">
        <w:t xml:space="preserve">, and </w:t>
      </w:r>
      <w:r w:rsidR="00E15EC5">
        <w:rPr>
          <w:b/>
          <w:bCs/>
        </w:rPr>
        <w:t>theater</w:t>
      </w:r>
      <w:r w:rsidR="00E15EC5">
        <w:t xml:space="preserve"> were more likely to succeed than other categories in the Kickstarter campaign. Subcategories, such as, </w:t>
      </w:r>
      <w:r w:rsidR="00E15EC5">
        <w:rPr>
          <w:b/>
          <w:bCs/>
        </w:rPr>
        <w:t>plays</w:t>
      </w:r>
      <w:r w:rsidR="00E15EC5">
        <w:t xml:space="preserve"> and </w:t>
      </w:r>
      <w:r w:rsidR="00E15EC5">
        <w:rPr>
          <w:b/>
          <w:bCs/>
        </w:rPr>
        <w:t>rock</w:t>
      </w:r>
      <w:r w:rsidR="00E15EC5">
        <w:t xml:space="preserve"> were highly successful while </w:t>
      </w:r>
      <w:r w:rsidR="00E15EC5">
        <w:rPr>
          <w:b/>
          <w:bCs/>
        </w:rPr>
        <w:t>animation</w:t>
      </w:r>
      <w:r w:rsidR="00E15EC5">
        <w:t xml:space="preserve">, </w:t>
      </w:r>
      <w:r w:rsidR="00E15EC5">
        <w:rPr>
          <w:b/>
          <w:bCs/>
        </w:rPr>
        <w:t>drama</w:t>
      </w:r>
      <w:r w:rsidR="00E15EC5">
        <w:t xml:space="preserve">, or </w:t>
      </w:r>
      <w:r w:rsidR="00E15EC5">
        <w:rPr>
          <w:b/>
          <w:bCs/>
        </w:rPr>
        <w:t>video games</w:t>
      </w:r>
      <w:r w:rsidR="00E15EC5">
        <w:t xml:space="preserve"> all failed. Campaigns started in May were more likely to perform better and succeed than campaigns starting in December. </w:t>
      </w:r>
    </w:p>
    <w:p w14:paraId="575F715D" w14:textId="30DD8CE5" w:rsidR="00C1487C" w:rsidRDefault="00850143" w:rsidP="00C1487C">
      <w:pPr>
        <w:pStyle w:val="ListParagraph"/>
        <w:numPr>
          <w:ilvl w:val="0"/>
          <w:numId w:val="1"/>
        </w:numPr>
      </w:pPr>
      <w:r>
        <w:t>A limitation of the data that is being presented is the ratio difference between how much each campaign was funded and how many pledged to the campaign. Some successful campaigns did not require that much money, and the charts do not reflect that outlier.</w:t>
      </w:r>
    </w:p>
    <w:p w14:paraId="3E730622" w14:textId="13337E55" w:rsidR="00850143" w:rsidRDefault="00850143" w:rsidP="00C1487C">
      <w:pPr>
        <w:pStyle w:val="ListParagraph"/>
        <w:numPr>
          <w:ilvl w:val="0"/>
          <w:numId w:val="1"/>
        </w:numPr>
      </w:pPr>
      <w:r>
        <w:t xml:space="preserve">Some charts we could include based off the limitation would be a line or bar graph that considers which </w:t>
      </w:r>
      <w:r w:rsidRPr="00850143">
        <w:rPr>
          <w:b/>
          <w:bCs/>
        </w:rPr>
        <w:t xml:space="preserve">Category </w:t>
      </w:r>
      <w:r>
        <w:t xml:space="preserve">or </w:t>
      </w:r>
      <w:r w:rsidRPr="00850143">
        <w:rPr>
          <w:b/>
          <w:bCs/>
        </w:rPr>
        <w:t>Sub-category</w:t>
      </w:r>
      <w:r>
        <w:rPr>
          <w:b/>
          <w:bCs/>
        </w:rPr>
        <w:t xml:space="preserve"> </w:t>
      </w:r>
      <w:r>
        <w:t xml:space="preserve">and how much their goal was and how many people were interested in pledging to these campaigns. </w:t>
      </w:r>
      <w:bookmarkStart w:id="0" w:name="_GoBack"/>
      <w:bookmarkEnd w:id="0"/>
    </w:p>
    <w:sectPr w:rsidR="00850143" w:rsidSect="00C1487C">
      <w:headerReference w:type="default" r:id="rId10"/>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CCBB" w14:textId="77777777" w:rsidR="00C955EC" w:rsidRDefault="00C955EC" w:rsidP="00C1487C">
      <w:pPr>
        <w:spacing w:after="0" w:line="240" w:lineRule="auto"/>
      </w:pPr>
      <w:r>
        <w:separator/>
      </w:r>
    </w:p>
  </w:endnote>
  <w:endnote w:type="continuationSeparator" w:id="0">
    <w:p w14:paraId="3462AF98" w14:textId="77777777" w:rsidR="00C955EC" w:rsidRDefault="00C955EC" w:rsidP="00C1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A71C4" w14:textId="77777777" w:rsidR="00C955EC" w:rsidRDefault="00C955EC" w:rsidP="00C1487C">
      <w:pPr>
        <w:spacing w:after="0" w:line="240" w:lineRule="auto"/>
      </w:pPr>
      <w:r>
        <w:separator/>
      </w:r>
    </w:p>
  </w:footnote>
  <w:footnote w:type="continuationSeparator" w:id="0">
    <w:p w14:paraId="25967BDB" w14:textId="77777777" w:rsidR="00C955EC" w:rsidRDefault="00C955EC" w:rsidP="00C14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251E" w14:textId="5EBDDFE7" w:rsidR="00C1487C" w:rsidRPr="00C1487C" w:rsidRDefault="00C1487C" w:rsidP="00C1487C">
    <w:pPr>
      <w:pStyle w:val="Header"/>
      <w:jc w:val="center"/>
      <w:rPr>
        <w:rFonts w:ascii="Times New Roman" w:hAnsi="Times New Roman" w:cs="Times New Roman"/>
        <w:sz w:val="24"/>
        <w:szCs w:val="24"/>
      </w:rPr>
    </w:pPr>
    <w:r w:rsidRPr="00C1487C">
      <w:rPr>
        <w:rFonts w:ascii="Times New Roman" w:hAnsi="Times New Roman" w:cs="Times New Roman"/>
        <w:sz w:val="24"/>
        <w:szCs w:val="24"/>
      </w:rPr>
      <w:t xml:space="preserve">Nada Ibrahim </w:t>
    </w:r>
    <w:r w:rsidRPr="00C1487C">
      <w:rPr>
        <w:rFonts w:ascii="Times New Roman" w:hAnsi="Times New Roman" w:cs="Times New Roman"/>
        <w:sz w:val="24"/>
        <w:szCs w:val="24"/>
      </w:rPr>
      <w:tab/>
      <w:t>Homework 1</w:t>
    </w:r>
    <w:r w:rsidRPr="00C1487C">
      <w:rPr>
        <w:rFonts w:ascii="Times New Roman" w:hAnsi="Times New Roman" w:cs="Times New Roman"/>
        <w:sz w:val="24"/>
        <w:szCs w:val="24"/>
      </w:rPr>
      <w:tab/>
    </w:r>
    <w:r>
      <w:rPr>
        <w:rFonts w:ascii="Times New Roman" w:hAnsi="Times New Roman" w:cs="Times New Roman"/>
        <w:sz w:val="24"/>
        <w:szCs w:val="24"/>
      </w:rPr>
      <w:t xml:space="preserve">                        </w:t>
    </w:r>
    <w:r w:rsidRPr="00C1487C">
      <w:rPr>
        <w:rFonts w:ascii="Times New Roman" w:hAnsi="Times New Roman" w:cs="Times New Roman"/>
        <w:sz w:val="24"/>
        <w:szCs w:val="24"/>
      </w:rPr>
      <w:t>Due: 10/26/19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52403"/>
    <w:multiLevelType w:val="hybridMultilevel"/>
    <w:tmpl w:val="44A4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7C"/>
    <w:rsid w:val="000B7404"/>
    <w:rsid w:val="00697F03"/>
    <w:rsid w:val="00850143"/>
    <w:rsid w:val="00B66AB7"/>
    <w:rsid w:val="00C1487C"/>
    <w:rsid w:val="00C955EC"/>
    <w:rsid w:val="00DF4A17"/>
    <w:rsid w:val="00E1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D5CF"/>
  <w15:chartTrackingRefBased/>
  <w15:docId w15:val="{608680D5-92FE-4ED0-B401-9D94B752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7C"/>
  </w:style>
  <w:style w:type="paragraph" w:styleId="Footer">
    <w:name w:val="footer"/>
    <w:basedOn w:val="Normal"/>
    <w:link w:val="FooterChar"/>
    <w:uiPriority w:val="99"/>
    <w:unhideWhenUsed/>
    <w:rsid w:val="00C14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7C"/>
  </w:style>
  <w:style w:type="paragraph" w:styleId="ListParagraph">
    <w:name w:val="List Paragraph"/>
    <w:basedOn w:val="Normal"/>
    <w:uiPriority w:val="34"/>
    <w:qFormat/>
    <w:rsid w:val="00C1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bce60b8f4f6c359/Document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bce60b8f4f6c359/Document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bce60b8f4f6c359/Document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[StarterBook.xlsx]Categories Pivot!PivotTable1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'Categories Pivot'!$B$3:$B$4</c:f>
              <c:strCache>
                <c:ptCount val="1"/>
                <c:pt idx="0">
                  <c:v>successful</c:v>
                </c:pt>
              </c:strCache>
            </c:strRef>
          </c:tx>
          <c:spPr>
            <a:solidFill>
              <a:schemeClr val="accent1"/>
            </a:solidFill>
            <a:ln>
              <a:noFill/>
            </a:ln>
            <a:effectLst/>
          </c:spPr>
          <c:invertIfNegative val="0"/>
          <c:cat>
            <c:strRef>
              <c:f>'Categories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9CAC-4D78-A16B-6D41291A8B9F}"/>
            </c:ext>
          </c:extLst>
        </c:ser>
        <c:ser>
          <c:idx val="1"/>
          <c:order val="1"/>
          <c:tx>
            <c:strRef>
              <c:f>'Categories Pivot'!$C$3:$C$4</c:f>
              <c:strCache>
                <c:ptCount val="1"/>
                <c:pt idx="0">
                  <c:v>live</c:v>
                </c:pt>
              </c:strCache>
            </c:strRef>
          </c:tx>
          <c:spPr>
            <a:solidFill>
              <a:schemeClr val="accent2"/>
            </a:solidFill>
            <a:ln>
              <a:noFill/>
            </a:ln>
            <a:effectLst/>
          </c:spPr>
          <c:invertIfNegative val="0"/>
          <c:cat>
            <c:strRef>
              <c:f>'Categories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Pivot'!$C$5:$C$14</c:f>
              <c:numCache>
                <c:formatCode>General</c:formatCode>
                <c:ptCount val="9"/>
                <c:pt idx="1">
                  <c:v>6</c:v>
                </c:pt>
                <c:pt idx="4">
                  <c:v>20</c:v>
                </c:pt>
                <c:pt idx="8">
                  <c:v>24</c:v>
                </c:pt>
              </c:numCache>
            </c:numRef>
          </c:val>
          <c:extLst>
            <c:ext xmlns:c16="http://schemas.microsoft.com/office/drawing/2014/chart" uri="{C3380CC4-5D6E-409C-BE32-E72D297353CC}">
              <c16:uniqueId val="{00000001-9CAC-4D78-A16B-6D41291A8B9F}"/>
            </c:ext>
          </c:extLst>
        </c:ser>
        <c:ser>
          <c:idx val="2"/>
          <c:order val="2"/>
          <c:tx>
            <c:strRef>
              <c:f>'Categories Pivot'!$D$3:$D$4</c:f>
              <c:strCache>
                <c:ptCount val="1"/>
                <c:pt idx="0">
                  <c:v>failed</c:v>
                </c:pt>
              </c:strCache>
            </c:strRef>
          </c:tx>
          <c:spPr>
            <a:solidFill>
              <a:schemeClr val="accent3"/>
            </a:solidFill>
            <a:ln>
              <a:noFill/>
            </a:ln>
            <a:effectLst/>
          </c:spPr>
          <c:invertIfNegative val="0"/>
          <c:cat>
            <c:strRef>
              <c:f>'Categories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9CAC-4D78-A16B-6D41291A8B9F}"/>
            </c:ext>
          </c:extLst>
        </c:ser>
        <c:ser>
          <c:idx val="3"/>
          <c:order val="3"/>
          <c:tx>
            <c:strRef>
              <c:f>'Categories Pivot'!$E$3:$E$4</c:f>
              <c:strCache>
                <c:ptCount val="1"/>
                <c:pt idx="0">
                  <c:v>canceled</c:v>
                </c:pt>
              </c:strCache>
            </c:strRef>
          </c:tx>
          <c:spPr>
            <a:solidFill>
              <a:schemeClr val="accent4"/>
            </a:solidFill>
            <a:ln>
              <a:noFill/>
            </a:ln>
            <a:effectLst/>
          </c:spPr>
          <c:invertIfNegative val="0"/>
          <c:cat>
            <c:strRef>
              <c:f>'Categories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9CAC-4D78-A16B-6D41291A8B9F}"/>
            </c:ext>
          </c:extLst>
        </c:ser>
        <c:dLbls>
          <c:showLegendKey val="0"/>
          <c:showVal val="0"/>
          <c:showCatName val="0"/>
          <c:showSerName val="0"/>
          <c:showPercent val="0"/>
          <c:showBubbleSize val="0"/>
        </c:dLbls>
        <c:gapWidth val="150"/>
        <c:overlap val="100"/>
        <c:axId val="1523413551"/>
        <c:axId val="1027080655"/>
      </c:barChart>
      <c:catAx>
        <c:axId val="152341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080655"/>
        <c:crosses val="autoZero"/>
        <c:auto val="1"/>
        <c:lblAlgn val="ctr"/>
        <c:lblOffset val="100"/>
        <c:noMultiLvlLbl val="0"/>
      </c:catAx>
      <c:valAx>
        <c:axId val="1027080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135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[StarterBook.xlsx]Sub-Categories Pivot!PivotTable2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'Sub-Categories Pivot'!$B$4:$B$5</c:f>
              <c:strCache>
                <c:ptCount val="1"/>
                <c:pt idx="0">
                  <c:v>successful</c:v>
                </c:pt>
              </c:strCache>
            </c:strRef>
          </c:tx>
          <c:spPr>
            <a:solidFill>
              <a:schemeClr val="accent1"/>
            </a:solidFill>
            <a:ln>
              <a:noFill/>
            </a:ln>
            <a:effectLst/>
          </c:spPr>
          <c:invertIfNegative val="0"/>
          <c:cat>
            <c:strRef>
              <c:f>'Sub-Categories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'Sub-Categories Pivot'!$B$6:$B$47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9AFF-47DC-A365-FF855DFBDD7E}"/>
            </c:ext>
          </c:extLst>
        </c:ser>
        <c:ser>
          <c:idx val="1"/>
          <c:order val="1"/>
          <c:tx>
            <c:strRef>
              <c:f>'Sub-Categories Pivot'!$C$4:$C$5</c:f>
              <c:strCache>
                <c:ptCount val="1"/>
                <c:pt idx="0">
                  <c:v>live</c:v>
                </c:pt>
              </c:strCache>
            </c:strRef>
          </c:tx>
          <c:spPr>
            <a:solidFill>
              <a:schemeClr val="accent2"/>
            </a:solidFill>
            <a:ln>
              <a:noFill/>
            </a:ln>
            <a:effectLst/>
          </c:spPr>
          <c:invertIfNegative val="0"/>
          <c:cat>
            <c:strRef>
              <c:f>'Sub-Categories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'Sub-Categories Pivot'!$C$6:$C$47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9AFF-47DC-A365-FF855DFBDD7E}"/>
            </c:ext>
          </c:extLst>
        </c:ser>
        <c:ser>
          <c:idx val="2"/>
          <c:order val="2"/>
          <c:tx>
            <c:strRef>
              <c:f>'Sub-Categories Pivot'!$D$4:$D$5</c:f>
              <c:strCache>
                <c:ptCount val="1"/>
                <c:pt idx="0">
                  <c:v>failed</c:v>
                </c:pt>
              </c:strCache>
            </c:strRef>
          </c:tx>
          <c:spPr>
            <a:solidFill>
              <a:schemeClr val="accent3"/>
            </a:solidFill>
            <a:ln>
              <a:noFill/>
            </a:ln>
            <a:effectLst/>
          </c:spPr>
          <c:invertIfNegative val="0"/>
          <c:cat>
            <c:strRef>
              <c:f>'Sub-Categories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'Sub-Categories Pivot'!$D$6:$D$47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9AFF-47DC-A365-FF855DFBDD7E}"/>
            </c:ext>
          </c:extLst>
        </c:ser>
        <c:ser>
          <c:idx val="3"/>
          <c:order val="3"/>
          <c:tx>
            <c:strRef>
              <c:f>'Sub-Categories Pivot'!$E$4:$E$5</c:f>
              <c:strCache>
                <c:ptCount val="1"/>
                <c:pt idx="0">
                  <c:v>canceled</c:v>
                </c:pt>
              </c:strCache>
            </c:strRef>
          </c:tx>
          <c:spPr>
            <a:solidFill>
              <a:schemeClr val="accent4"/>
            </a:solidFill>
            <a:ln>
              <a:noFill/>
            </a:ln>
            <a:effectLst/>
          </c:spPr>
          <c:invertIfNegative val="0"/>
          <c:cat>
            <c:strRef>
              <c:f>'Sub-Categories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'Sub-Categories Pivot'!$E$6:$E$47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9AFF-47DC-A365-FF855DFBDD7E}"/>
            </c:ext>
          </c:extLst>
        </c:ser>
        <c:dLbls>
          <c:showLegendKey val="0"/>
          <c:showVal val="0"/>
          <c:showCatName val="0"/>
          <c:showSerName val="0"/>
          <c:showPercent val="0"/>
          <c:showBubbleSize val="0"/>
        </c:dLbls>
        <c:gapWidth val="150"/>
        <c:overlap val="100"/>
        <c:axId val="967216671"/>
        <c:axId val="965932239"/>
      </c:barChart>
      <c:catAx>
        <c:axId val="967216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932239"/>
        <c:crosses val="autoZero"/>
        <c:auto val="1"/>
        <c:lblAlgn val="ctr"/>
        <c:lblOffset val="100"/>
        <c:noMultiLvlLbl val="0"/>
      </c:catAx>
      <c:valAx>
        <c:axId val="965932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216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 Created Pivot!PivotTable7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Pivot'!$B$4:$B$5</c:f>
              <c:strCache>
                <c:ptCount val="1"/>
                <c:pt idx="0">
                  <c:v>canceled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C7CD-40CA-80A4-03BB608302EB}"/>
            </c:ext>
          </c:extLst>
        </c:ser>
        <c:ser>
          <c:idx val="1"/>
          <c:order val="1"/>
          <c:tx>
            <c:strRef>
              <c:f>'Date Created Pivot'!$C$4:$C$5</c:f>
              <c:strCache>
                <c:ptCount val="1"/>
                <c:pt idx="0">
                  <c:v>failed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C7CD-40CA-80A4-03BB608302EB}"/>
            </c:ext>
          </c:extLst>
        </c:ser>
        <c:ser>
          <c:idx val="2"/>
          <c:order val="2"/>
          <c:tx>
            <c:strRef>
              <c:f>'Date Created Pivot'!$D$4:$D$5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C7CD-40CA-80A4-03BB608302EB}"/>
            </c:ext>
          </c:extLst>
        </c:ser>
        <c:dLbls>
          <c:showLegendKey val="0"/>
          <c:showVal val="0"/>
          <c:showCatName val="0"/>
          <c:showSerName val="0"/>
          <c:showPercent val="0"/>
          <c:showBubbleSize val="0"/>
        </c:dLbls>
        <c:marker val="1"/>
        <c:smooth val="0"/>
        <c:axId val="1520201247"/>
        <c:axId val="1027143471"/>
      </c:lineChart>
      <c:catAx>
        <c:axId val="1520201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143471"/>
        <c:crosses val="autoZero"/>
        <c:auto val="1"/>
        <c:lblAlgn val="ctr"/>
        <c:lblOffset val="100"/>
        <c:noMultiLvlLbl val="0"/>
      </c:catAx>
      <c:valAx>
        <c:axId val="102714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2012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Space Technology Association of Rutgers</dc:creator>
  <cp:keywords/>
  <dc:description/>
  <cp:lastModifiedBy>STAR Space Technology Association of Rutgers</cp:lastModifiedBy>
  <cp:revision>2</cp:revision>
  <dcterms:created xsi:type="dcterms:W3CDTF">2019-10-22T04:30:00Z</dcterms:created>
  <dcterms:modified xsi:type="dcterms:W3CDTF">2019-10-22T22:32:00Z</dcterms:modified>
</cp:coreProperties>
</file>