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E7C7B"/>
          <w:sz w:val="30"/>
          <w:szCs w:val="30"/>
        </w:rPr>
        <w:t xml:space="preserve">NAWILL PAY</w:t>
      </w:r>
    </w:p>
    <w:p>
      <w:pPr>
        <w:spacing w:after="200" w:before="200"/>
        <w:jc w:val="center"/>
      </w:pPr>
      <w:r>
        <w:rPr>
          <w:b/>
          <w:bCs/>
          <w:color w:val="1F3864"/>
          <w:sz w:val="52"/>
          <w:szCs w:val="52"/>
        </w:rPr>
        <w:t xml:space="preserve">Requirements Specification</w:t>
      </w:r>
    </w:p>
    <w:p>
      <w:pPr>
        <w:spacing w:after="600"/>
        <w:jc w:val="center"/>
      </w:pPr>
      <w:r>
        <w:rPr>
          <w:i/>
          <w:iCs/>
          <w:color w:val="555555"/>
          <w:sz w:val="24"/>
          <w:szCs w:val="24"/>
        </w:rPr>
        <w:t xml:space="preserve">Functional &amp; Non-Functional Requirements — Payment Collection &amp; Processing Platform</w:t>
      </w:r>
    </w:p>
    <w:p>
      <w:pPr>
        <w:spacing w:after="80"/>
        <w:jc w:val="center"/>
      </w:pPr>
      <w:r>
        <w:rPr>
          <w:color w:val="666666"/>
          <w:sz w:val="20"/>
          <w:szCs w:val="20"/>
        </w:rPr>
        <w:t xml:space="preserve">Version 0.1 (MVP Draft)</w:t>
      </w:r>
    </w:p>
    <w:p>
      <w:pPr>
        <w:spacing w:after="80"/>
        <w:jc w:val="center"/>
      </w:pPr>
      <w:r>
        <w:rPr>
          <w:color w:val="666666"/>
          <w:sz w:val="20"/>
          <w:szCs w:val="20"/>
        </w:rPr>
        <w:t xml:space="preserve">Prepared by: Nawill Technology Ltd — Engineering</w:t>
      </w:r>
    </w:p>
    <w:p>
      <w:pPr>
        <w:spacing w:after="80"/>
        <w:jc w:val="center"/>
      </w:pPr>
      <w:r>
        <w:rPr>
          <w:color w:val="666666"/>
          <w:sz w:val="20"/>
          <w:szCs w:val="20"/>
        </w:rPr>
        <w:t xml:space="preserve">Date: August 2026</w:t>
      </w:r>
    </w:p>
    <w:p>
      <w:pPr>
        <w:spacing w:after="80"/>
        <w:jc w:val="center"/>
      </w:pPr>
      <w:r>
        <w:rPr>
          <w:color w:val="666666"/>
          <w:sz w:val="20"/>
          <w:szCs w:val="20"/>
        </w:rPr>
        <w:t xml:space="preserve">Market Focus: Nigeria, expanding to Sub-Saharan Africa</w:t>
      </w:r>
    </w:p>
    <w:p>
      <w:r>
        <w:br w:type="page"/>
      </w:r>
    </w:p>
    <w:p>
      <w:pPr>
        <w:pStyle w:val="Heading1"/>
        <w:spacing w:after="160" w:before="360"/>
      </w:pPr>
      <w:r>
        <w:rPr>
          <w:b/>
          <w:bCs/>
          <w:color w:val="1F3864"/>
          <w:sz w:val="30"/>
          <w:szCs w:val="30"/>
        </w:rPr>
        <w:t xml:space="preserve">1. Introduction</w:t>
      </w:r>
    </w:p>
    <w:p>
      <w:pPr>
        <w:spacing w:after="160" w:line="276"/>
      </w:pPr>
      <w:r>
        <w:rPr>
          <w:sz w:val="21"/>
          <w:szCs w:val="21"/>
        </w:rPr>
        <w:t xml:space="preserve">Nawill Pay is an independent payment collection and processing platform designed to serve as a payment integrator for businesses and individuals across Nigeria, with a growth path into other Sub-Saharan African markets. It sits between merchants/collectors and Nigeria's payment rails (NIBSS, commercial and microfinance banks, licensed Payment Solution Service Providers) to receive money on behalf of users, record it against virtual accounts, and settle or disburse it according to configured rules.</w:t>
      </w:r>
    </w:p>
    <w:p>
      <w:pPr>
        <w:spacing w:after="160" w:line="276"/>
      </w:pPr>
      <w:r>
        <w:rPr>
          <w:sz w:val="21"/>
          <w:szCs w:val="21"/>
        </w:rPr>
        <w:t xml:space="preserve">A defining design constraint is Nigeria's uneven network infrastructure. Nawill Pay's local communities and merchants frequently operate on poor or intermittent connectivity, so the platform is deliberately designed with resilience, graceful degradation, and offline-to-online fallback strategies for sensitive operations, rather than assuming always-on connectivity typical of platforms designed for developed markets.</w:t>
      </w:r>
    </w:p>
    <w:p>
      <w:pPr>
        <w:pStyle w:val="Heading2"/>
        <w:spacing w:after="120" w:before="280"/>
      </w:pPr>
      <w:r>
        <w:rPr>
          <w:b/>
          <w:bCs/>
          <w:color w:val="0E7C7B"/>
          <w:sz w:val="25"/>
          <w:szCs w:val="25"/>
        </w:rPr>
        <w:t xml:space="preserve">1.1 Purpose</w:t>
      </w:r>
    </w:p>
    <w:p>
      <w:pPr>
        <w:spacing w:after="160" w:line="276"/>
      </w:pPr>
      <w:r>
        <w:rPr>
          <w:sz w:val="21"/>
          <w:szCs w:val="21"/>
        </w:rPr>
        <w:t xml:space="preserve">This document defines the functional and non-functional requirements for the Nawill Pay MVP and establishes a foundation for subsequent iterations, including multi-currency support for other African markets.</w:t>
      </w:r>
    </w:p>
    <w:p>
      <w:pPr>
        <w:pStyle w:val="Heading2"/>
        <w:spacing w:after="120" w:before="280"/>
      </w:pPr>
      <w:r>
        <w:rPr>
          <w:b/>
          <w:bCs/>
          <w:color w:val="0E7C7B"/>
          <w:sz w:val="25"/>
          <w:szCs w:val="25"/>
        </w:rPr>
        <w:t xml:space="preserve">1.2 Product Vision</w:t>
      </w:r>
    </w:p>
    <w:p>
      <w:pPr>
        <w:spacing w:after="160" w:line="276"/>
      </w:pPr>
      <w:r>
        <w:rPr>
          <w:sz w:val="21"/>
          <w:szCs w:val="21"/>
        </w:rPr>
        <w:t xml:space="preserve">To become a leading, locally-resilient payment collector and processor for Nigeria's underserved communities and SMEs, later expanding across Sub-Saharan Africa, while maintaining bank-grade security and regulatory alignment with CBN guidelines.</w:t>
      </w:r>
    </w:p>
    <w:p>
      <w:pPr>
        <w:pStyle w:val="Heading2"/>
        <w:spacing w:after="120" w:before="280"/>
      </w:pPr>
      <w:r>
        <w:rPr>
          <w:b/>
          <w:bCs/>
          <w:color w:val="0E7C7B"/>
          <w:sz w:val="25"/>
          <w:szCs w:val="25"/>
        </w:rPr>
        <w:t xml:space="preserve">1.3 Definitions &amp;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shd w:fill="1F3864" w:color="auto" w:val="clear"/>
            <w:tcMar>
              <w:top w:type="dxa" w:w="80"/>
              <w:left w:type="dxa" w:w="100"/>
              <w:bottom w:type="dxa" w:w="80"/>
              <w:right w:type="dxa" w:w="100"/>
            </w:tcMar>
          </w:tcPr>
          <w:p>
            <w:r>
              <w:rPr>
                <w:b/>
                <w:bCs/>
                <w:color w:val="FFFFFF"/>
                <w:sz w:val="19"/>
                <w:szCs w:val="19"/>
              </w:rPr>
              <w:t xml:space="preserve">Term</w:t>
            </w:r>
          </w:p>
        </w:tc>
        <w:tc>
          <w:tcPr>
            <w:shd w:fill="1F3864" w:color="auto" w:val="clear"/>
            <w:tcMar>
              <w:top w:type="dxa" w:w="80"/>
              <w:left w:type="dxa" w:w="100"/>
              <w:bottom w:type="dxa" w:w="80"/>
              <w:right w:type="dxa" w:w="100"/>
            </w:tcMar>
          </w:tcPr>
          <w:p>
            <w:r>
              <w:rPr>
                <w:b/>
                <w:bCs/>
                <w:color w:val="FFFFFF"/>
                <w:sz w:val="19"/>
                <w:szCs w:val="19"/>
              </w:rPr>
              <w:t xml:space="preserve">Definition</w:t>
            </w:r>
          </w:p>
        </w:tc>
      </w:tr>
      <w:tr>
        <w:tc>
          <w:tcPr>
            <w:tcMar>
              <w:top w:type="dxa" w:w="80"/>
              <w:left w:type="dxa" w:w="100"/>
              <w:bottom w:type="dxa" w:w="80"/>
              <w:right w:type="dxa" w:w="100"/>
            </w:tcMar>
          </w:tcPr>
          <w:p>
            <w:r>
              <w:rPr>
                <w:b w:val="false"/>
                <w:bCs w:val="false"/>
                <w:color w:val="222222"/>
                <w:sz w:val="19"/>
                <w:szCs w:val="19"/>
              </w:rPr>
              <w:t xml:space="preserve">NIBSS</w:t>
            </w:r>
          </w:p>
        </w:tc>
        <w:tc>
          <w:tcPr>
            <w:tcMar>
              <w:top w:type="dxa" w:w="80"/>
              <w:left w:type="dxa" w:w="100"/>
              <w:bottom w:type="dxa" w:w="80"/>
              <w:right w:type="dxa" w:w="100"/>
            </w:tcMar>
          </w:tcPr>
          <w:p>
            <w:r>
              <w:rPr>
                <w:b w:val="false"/>
                <w:bCs w:val="false"/>
                <w:color w:val="222222"/>
                <w:sz w:val="19"/>
                <w:szCs w:val="19"/>
              </w:rPr>
              <w:t xml:space="preserve">Nigeria Inter-Bank Settlement System — the national interbank settlement infrastructure used for real-time transfers (NIP) between Nigerian banks.</w:t>
            </w:r>
          </w:p>
        </w:tc>
      </w:tr>
      <w:tr>
        <w:tc>
          <w:tcPr>
            <w:tcMar>
              <w:top w:type="dxa" w:w="80"/>
              <w:left w:type="dxa" w:w="100"/>
              <w:bottom w:type="dxa" w:w="80"/>
              <w:right w:type="dxa" w:w="100"/>
            </w:tcMar>
          </w:tcPr>
          <w:p>
            <w:r>
              <w:rPr>
                <w:b w:val="false"/>
                <w:bCs w:val="false"/>
                <w:color w:val="222222"/>
                <w:sz w:val="19"/>
                <w:szCs w:val="19"/>
              </w:rPr>
              <w:t xml:space="preserve">PSSP</w:t>
            </w:r>
          </w:p>
        </w:tc>
        <w:tc>
          <w:tcPr>
            <w:tcMar>
              <w:top w:type="dxa" w:w="80"/>
              <w:left w:type="dxa" w:w="100"/>
              <w:bottom w:type="dxa" w:w="80"/>
              <w:right w:type="dxa" w:w="100"/>
            </w:tcMar>
          </w:tcPr>
          <w:p>
            <w:r>
              <w:rPr>
                <w:b w:val="false"/>
                <w:bCs w:val="false"/>
                <w:color w:val="222222"/>
                <w:sz w:val="19"/>
                <w:szCs w:val="19"/>
              </w:rPr>
              <w:t xml:space="preserve">Payment Solution Service Provider — a CBN-licensed entity permitted to provide payment processing/switching services (e.g. Paystack, Interswitch, Flutterwave).</w:t>
            </w:r>
          </w:p>
        </w:tc>
      </w:tr>
      <w:tr>
        <w:tc>
          <w:tcPr>
            <w:tcMar>
              <w:top w:type="dxa" w:w="80"/>
              <w:left w:type="dxa" w:w="100"/>
              <w:bottom w:type="dxa" w:w="80"/>
              <w:right w:type="dxa" w:w="100"/>
            </w:tcMar>
          </w:tcPr>
          <w:p>
            <w:r>
              <w:rPr>
                <w:b w:val="false"/>
                <w:bCs w:val="false"/>
                <w:color w:val="222222"/>
                <w:sz w:val="19"/>
                <w:szCs w:val="19"/>
              </w:rPr>
              <w:t xml:space="preserve">KYC / KYB</w:t>
            </w:r>
          </w:p>
        </w:tc>
        <w:tc>
          <w:tcPr>
            <w:tcMar>
              <w:top w:type="dxa" w:w="80"/>
              <w:left w:type="dxa" w:w="100"/>
              <w:bottom w:type="dxa" w:w="80"/>
              <w:right w:type="dxa" w:w="100"/>
            </w:tcMar>
          </w:tcPr>
          <w:p>
            <w:r>
              <w:rPr>
                <w:b w:val="false"/>
                <w:bCs w:val="false"/>
                <w:color w:val="222222"/>
                <w:sz w:val="19"/>
                <w:szCs w:val="19"/>
              </w:rPr>
              <w:t xml:space="preserve">Know Your Customer / Know Your Business — identity and business verification processes required for regulatory compliance.</w:t>
            </w:r>
          </w:p>
        </w:tc>
      </w:tr>
      <w:tr>
        <w:tc>
          <w:tcPr>
            <w:tcMar>
              <w:top w:type="dxa" w:w="80"/>
              <w:left w:type="dxa" w:w="100"/>
              <w:bottom w:type="dxa" w:w="80"/>
              <w:right w:type="dxa" w:w="100"/>
            </w:tcMar>
          </w:tcPr>
          <w:p>
            <w:r>
              <w:rPr>
                <w:b w:val="false"/>
                <w:bCs w:val="false"/>
                <w:color w:val="222222"/>
                <w:sz w:val="19"/>
                <w:szCs w:val="19"/>
              </w:rPr>
              <w:t xml:space="preserve">RBAC</w:t>
            </w:r>
          </w:p>
        </w:tc>
        <w:tc>
          <w:tcPr>
            <w:tcMar>
              <w:top w:type="dxa" w:w="80"/>
              <w:left w:type="dxa" w:w="100"/>
              <w:bottom w:type="dxa" w:w="80"/>
              <w:right w:type="dxa" w:w="100"/>
            </w:tcMar>
          </w:tcPr>
          <w:p>
            <w:r>
              <w:rPr>
                <w:b w:val="false"/>
                <w:bCs w:val="false"/>
                <w:color w:val="222222"/>
                <w:sz w:val="19"/>
                <w:szCs w:val="19"/>
              </w:rPr>
              <w:t xml:space="preserve">Role-Based Access Control — permission model restricting system actions by assigned role.</w:t>
            </w:r>
          </w:p>
        </w:tc>
      </w:tr>
      <w:tr>
        <w:tc>
          <w:tcPr>
            <w:tcMar>
              <w:top w:type="dxa" w:w="80"/>
              <w:left w:type="dxa" w:w="100"/>
              <w:bottom w:type="dxa" w:w="80"/>
              <w:right w:type="dxa" w:w="100"/>
            </w:tcMar>
          </w:tcPr>
          <w:p>
            <w:r>
              <w:rPr>
                <w:b w:val="false"/>
                <w:bCs w:val="false"/>
                <w:color w:val="222222"/>
                <w:sz w:val="19"/>
                <w:szCs w:val="19"/>
              </w:rPr>
              <w:t xml:space="preserve">Virtual Account</w:t>
            </w:r>
          </w:p>
        </w:tc>
        <w:tc>
          <w:tcPr>
            <w:tcMar>
              <w:top w:type="dxa" w:w="80"/>
              <w:left w:type="dxa" w:w="100"/>
              <w:bottom w:type="dxa" w:w="80"/>
              <w:right w:type="dxa" w:w="100"/>
            </w:tcMar>
          </w:tcPr>
          <w:p>
            <w:r>
              <w:rPr>
                <w:b w:val="false"/>
                <w:bCs w:val="false"/>
                <w:color w:val="222222"/>
                <w:sz w:val="19"/>
                <w:szCs w:val="19"/>
              </w:rPr>
              <w:t xml:space="preserve">A unique, non-globally-shared account number issued to a user/business for the purpose of receiving collections, mapped internally to a ledger balance.</w:t>
            </w:r>
          </w:p>
        </w:tc>
      </w:tr>
      <w:tr>
        <w:tc>
          <w:tcPr>
            <w:tcMar>
              <w:top w:type="dxa" w:w="80"/>
              <w:left w:type="dxa" w:w="100"/>
              <w:bottom w:type="dxa" w:w="80"/>
              <w:right w:type="dxa" w:w="100"/>
            </w:tcMar>
          </w:tcPr>
          <w:p>
            <w:r>
              <w:rPr>
                <w:b w:val="false"/>
                <w:bCs w:val="false"/>
                <w:color w:val="222222"/>
                <w:sz w:val="19"/>
                <w:szCs w:val="19"/>
              </w:rPr>
              <w:t xml:space="preserve">Settlement Account</w:t>
            </w:r>
          </w:p>
        </w:tc>
        <w:tc>
          <w:tcPr>
            <w:tcMar>
              <w:top w:type="dxa" w:w="80"/>
              <w:left w:type="dxa" w:w="100"/>
              <w:bottom w:type="dxa" w:w="80"/>
              <w:right w:type="dxa" w:w="100"/>
            </w:tcMar>
          </w:tcPr>
          <w:p>
            <w:r>
              <w:rPr>
                <w:b w:val="false"/>
                <w:bCs w:val="false"/>
                <w:color w:val="222222"/>
                <w:sz w:val="19"/>
                <w:szCs w:val="19"/>
              </w:rPr>
              <w:t xml:space="preserve">The linked bank account (commercial/microfinance bank) to which a virtual account's funds are settled/disbursed.</w:t>
            </w:r>
          </w:p>
        </w:tc>
      </w:tr>
      <w:tr>
        <w:tc>
          <w:tcPr>
            <w:tcMar>
              <w:top w:type="dxa" w:w="80"/>
              <w:left w:type="dxa" w:w="100"/>
              <w:bottom w:type="dxa" w:w="80"/>
              <w:right w:type="dxa" w:w="100"/>
            </w:tcMar>
          </w:tcPr>
          <w:p>
            <w:r>
              <w:rPr>
                <w:b w:val="false"/>
                <w:bCs w:val="false"/>
                <w:color w:val="222222"/>
                <w:sz w:val="19"/>
                <w:szCs w:val="19"/>
              </w:rPr>
              <w:t xml:space="preserve">Collection Account</w:t>
            </w:r>
          </w:p>
        </w:tc>
        <w:tc>
          <w:tcPr>
            <w:tcMar>
              <w:top w:type="dxa" w:w="80"/>
              <w:left w:type="dxa" w:w="100"/>
              <w:bottom w:type="dxa" w:w="80"/>
              <w:right w:type="dxa" w:w="100"/>
            </w:tcMar>
          </w:tcPr>
          <w:p>
            <w:r>
              <w:rPr>
                <w:b w:val="false"/>
                <w:bCs w:val="false"/>
                <w:color w:val="222222"/>
                <w:sz w:val="19"/>
                <w:szCs w:val="19"/>
              </w:rPr>
              <w:t xml:space="preserve">Nawill Pay's pooled bank account, held with a partner commercial or microfinance bank, where actual NIBSS deposits land before internal ledger allocation.</w:t>
            </w:r>
          </w:p>
        </w:tc>
      </w:tr>
      <w:tr>
        <w:tc>
          <w:tcPr>
            <w:tcMar>
              <w:top w:type="dxa" w:w="80"/>
              <w:left w:type="dxa" w:w="100"/>
              <w:bottom w:type="dxa" w:w="80"/>
              <w:right w:type="dxa" w:w="100"/>
            </w:tcMar>
          </w:tcPr>
          <w:p>
            <w:r>
              <w:rPr>
                <w:b w:val="false"/>
                <w:bCs w:val="false"/>
                <w:color w:val="222222"/>
                <w:sz w:val="19"/>
                <w:szCs w:val="19"/>
              </w:rPr>
              <w:t xml:space="preserve">Idempotency Key</w:t>
            </w:r>
          </w:p>
        </w:tc>
        <w:tc>
          <w:tcPr>
            <w:tcMar>
              <w:top w:type="dxa" w:w="80"/>
              <w:left w:type="dxa" w:w="100"/>
              <w:bottom w:type="dxa" w:w="80"/>
              <w:right w:type="dxa" w:w="100"/>
            </w:tcMar>
          </w:tcPr>
          <w:p>
            <w:r>
              <w:rPr>
                <w:b w:val="false"/>
                <w:bCs w:val="false"/>
                <w:color w:val="222222"/>
                <w:sz w:val="19"/>
                <w:szCs w:val="19"/>
              </w:rPr>
              <w:t xml:space="preserve">A client- or server-generated unique key attached to a transaction request to guarantee it is processed at most once.</w:t>
            </w:r>
          </w:p>
        </w:tc>
      </w:tr>
    </w:tbl>
    <w:p>
      <w:pPr>
        <w:pStyle w:val="Heading2"/>
        <w:spacing w:after="120" w:before="280"/>
      </w:pPr>
      <w:r>
        <w:rPr>
          <w:b/>
          <w:bCs/>
          <w:color w:val="0E7C7B"/>
          <w:sz w:val="25"/>
          <w:szCs w:val="25"/>
        </w:rPr>
        <w:t xml:space="preserve">1.4 Scope</w:t>
      </w:r>
    </w:p>
    <w:p>
      <w:pPr>
        <w:pStyle w:val="ListParagraph"/>
        <w:numPr>
          <w:ilvl w:val="0"/>
          <w:numId w:val="1"/>
        </w:numPr>
        <w:spacing w:after="80" w:line="270"/>
      </w:pPr>
      <w:r>
        <w:rPr>
          <w:sz w:val="21"/>
          <w:szCs w:val="21"/>
        </w:rPr>
        <w:t xml:space="preserve">In scope (MVP): user &amp; business onboarding, KYC/2FA, virtual account issuance, inbound collections, transaction fees, payment splits/settlement, payment links, payment processor integrations (Paystack, Interswitch, etc.), webhooks (inbound/outbound), reconciliation, admin &amp; RBAC, notifications, reporting, audit logging.</w:t>
      </w:r>
    </w:p>
    <w:p>
      <w:pPr>
        <w:pStyle w:val="ListParagraph"/>
        <w:numPr>
          <w:ilvl w:val="0"/>
          <w:numId w:val="1"/>
        </w:numPr>
        <w:spacing w:after="80" w:line="270"/>
      </w:pPr>
      <w:r>
        <w:rPr>
          <w:sz w:val="21"/>
          <w:szCs w:val="21"/>
        </w:rPr>
        <w:t xml:space="preserve">Out of scope (MVP, planned for later phases): multi-currency wallets and FX settlement, card issuing, lending/credit products, agency banking, full offline transaction queuing beyond critical-path fallback.</w:t>
      </w:r>
    </w:p>
    <w:p>
      <w:pPr>
        <w:pStyle w:val="ListParagraph"/>
        <w:numPr>
          <w:ilvl w:val="0"/>
          <w:numId w:val="1"/>
        </w:numPr>
        <w:spacing w:after="80" w:line="270"/>
      </w:pPr>
      <w:r>
        <w:rPr>
          <w:sz w:val="21"/>
          <w:szCs w:val="21"/>
        </w:rPr>
        <w:t xml:space="preserve">Currency: MVP defaults to Naira (NGN) only, but the schema and configuration layer must be designed so that additional African currencies (e.g. GHS, KES, XOF) can be added without structural rework.</w:t>
      </w:r>
    </w:p>
    <w:p>
      <w:r>
        <w:br w:type="page"/>
      </w:r>
    </w:p>
    <w:p>
      <w:pPr>
        <w:pStyle w:val="Heading1"/>
        <w:spacing w:after="160" w:before="360"/>
      </w:pPr>
      <w:r>
        <w:rPr>
          <w:b/>
          <w:bCs/>
          <w:color w:val="1F3864"/>
          <w:sz w:val="30"/>
          <w:szCs w:val="30"/>
        </w:rPr>
        <w:t xml:space="preserve">2. Actors &amp; User Types</w:t>
      </w:r>
    </w:p>
    <w:p>
      <w:pPr>
        <w:spacing w:after="160" w:line="276"/>
      </w:pPr>
      <w:r>
        <w:rPr>
          <w:sz w:val="21"/>
          <w:szCs w:val="21"/>
        </w:rPr>
        <w:t xml:space="preserve">The platform recognizes the following user types, defined at the schema level via a userType enumeration: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shd w:fill="1F3864" w:color="auto" w:val="clear"/>
            <w:tcMar>
              <w:top w:type="dxa" w:w="80"/>
              <w:left w:type="dxa" w:w="100"/>
              <w:bottom w:type="dxa" w:w="80"/>
              <w:right w:type="dxa" w:w="100"/>
            </w:tcMar>
          </w:tcPr>
          <w:p>
            <w:r>
              <w:rPr>
                <w:b/>
                <w:bCs/>
                <w:color w:val="FFFFFF"/>
                <w:sz w:val="19"/>
                <w:szCs w:val="19"/>
              </w:rPr>
              <w:t xml:space="preserve">User Type</w:t>
            </w:r>
          </w:p>
        </w:tc>
        <w:tc>
          <w:tcPr>
            <w:shd w:fill="1F3864" w:color="auto" w:val="clear"/>
            <w:tcMar>
              <w:top w:type="dxa" w:w="80"/>
              <w:left w:type="dxa" w:w="100"/>
              <w:bottom w:type="dxa" w:w="80"/>
              <w:right w:type="dxa" w:w="100"/>
            </w:tcMar>
          </w:tcPr>
          <w:p>
            <w:r>
              <w:rPr>
                <w:b/>
                <w:bCs/>
                <w:color w:val="FFFFFF"/>
                <w:sz w:val="19"/>
                <w:szCs w:val="19"/>
              </w:rPr>
              <w:t xml:space="preserve">Description</w:t>
            </w:r>
          </w:p>
        </w:tc>
      </w:tr>
      <w:tr>
        <w:tc>
          <w:tcPr>
            <w:tcMar>
              <w:top w:type="dxa" w:w="80"/>
              <w:left w:type="dxa" w:w="100"/>
              <w:bottom w:type="dxa" w:w="80"/>
              <w:right w:type="dxa" w:w="100"/>
            </w:tcMar>
          </w:tcPr>
          <w:p>
            <w:r>
              <w:rPr>
                <w:b w:val="false"/>
                <w:bCs w:val="false"/>
                <w:color w:val="222222"/>
                <w:sz w:val="19"/>
                <w:szCs w:val="19"/>
              </w:rPr>
              <w:t xml:space="preserve">USER</w:t>
            </w:r>
          </w:p>
        </w:tc>
        <w:tc>
          <w:tcPr>
            <w:tcMar>
              <w:top w:type="dxa" w:w="80"/>
              <w:left w:type="dxa" w:w="100"/>
              <w:bottom w:type="dxa" w:w="80"/>
              <w:right w:type="dxa" w:w="100"/>
            </w:tcMar>
          </w:tcPr>
          <w:p>
            <w:r>
              <w:rPr>
                <w:b w:val="false"/>
                <w:bCs w:val="false"/>
                <w:color w:val="222222"/>
                <w:sz w:val="19"/>
                <w:szCs w:val="19"/>
              </w:rPr>
              <w:t xml:space="preserve">An individual end user who has signed up to collect payments, hold a virtual account, and transact.</w:t>
            </w:r>
          </w:p>
        </w:tc>
      </w:tr>
      <w:tr>
        <w:tc>
          <w:tcPr>
            <w:tcMar>
              <w:top w:type="dxa" w:w="80"/>
              <w:left w:type="dxa" w:w="100"/>
              <w:bottom w:type="dxa" w:w="80"/>
              <w:right w:type="dxa" w:w="100"/>
            </w:tcMar>
          </w:tcPr>
          <w:p>
            <w:r>
              <w:rPr>
                <w:b w:val="false"/>
                <w:bCs w:val="false"/>
                <w:color w:val="222222"/>
                <w:sz w:val="19"/>
                <w:szCs w:val="19"/>
              </w:rPr>
              <w:t xml:space="preserve">ADMIN</w:t>
            </w:r>
          </w:p>
        </w:tc>
        <w:tc>
          <w:tcPr>
            <w:tcMar>
              <w:top w:type="dxa" w:w="80"/>
              <w:left w:type="dxa" w:w="100"/>
              <w:bottom w:type="dxa" w:w="80"/>
              <w:right w:type="dxa" w:w="100"/>
            </w:tcMar>
          </w:tcPr>
          <w:p>
            <w:r>
              <w:rPr>
                <w:b w:val="false"/>
                <w:bCs w:val="false"/>
                <w:color w:val="222222"/>
                <w:sz w:val="19"/>
                <w:szCs w:val="19"/>
              </w:rPr>
              <w:t xml:space="preserve">An internal or business-created privileged user (e.g. account officer) with configurable, scoped permissions defined via RBAC roles.</w:t>
            </w:r>
          </w:p>
        </w:tc>
      </w:tr>
      <w:tr>
        <w:tc>
          <w:tcPr>
            <w:tcMar>
              <w:top w:type="dxa" w:w="80"/>
              <w:left w:type="dxa" w:w="100"/>
              <w:bottom w:type="dxa" w:w="80"/>
              <w:right w:type="dxa" w:w="100"/>
            </w:tcMar>
          </w:tcPr>
          <w:p>
            <w:r>
              <w:rPr>
                <w:b w:val="false"/>
                <w:bCs w:val="false"/>
                <w:color w:val="222222"/>
                <w:sz w:val="19"/>
                <w:szCs w:val="19"/>
              </w:rPr>
              <w:t xml:space="preserve">SUPERADMIN</w:t>
            </w:r>
          </w:p>
        </w:tc>
        <w:tc>
          <w:tcPr>
            <w:tcMar>
              <w:top w:type="dxa" w:w="80"/>
              <w:left w:type="dxa" w:w="100"/>
              <w:bottom w:type="dxa" w:w="80"/>
              <w:right w:type="dxa" w:w="100"/>
            </w:tcMar>
          </w:tcPr>
          <w:p>
            <w:r>
              <w:rPr>
                <w:b w:val="false"/>
                <w:bCs w:val="false"/>
                <w:color w:val="222222"/>
                <w:sz w:val="19"/>
                <w:szCs w:val="19"/>
              </w:rPr>
              <w:t xml:space="preserve">A seeded, internal Nawill Pay staff role with unrestricted access by default across the platform. Not self-serve creatable.</w:t>
            </w:r>
          </w:p>
        </w:tc>
      </w:tr>
      <w:tr>
        <w:tc>
          <w:tcPr>
            <w:tcMar>
              <w:top w:type="dxa" w:w="80"/>
              <w:left w:type="dxa" w:w="100"/>
              <w:bottom w:type="dxa" w:w="80"/>
              <w:right w:type="dxa" w:w="100"/>
            </w:tcMar>
          </w:tcPr>
          <w:p>
            <w:r>
              <w:rPr>
                <w:b w:val="false"/>
                <w:bCs w:val="false"/>
                <w:color w:val="222222"/>
                <w:sz w:val="19"/>
                <w:szCs w:val="19"/>
              </w:rPr>
              <w:t xml:space="preserve">PSSP</w:t>
            </w:r>
          </w:p>
        </w:tc>
        <w:tc>
          <w:tcPr>
            <w:tcMar>
              <w:top w:type="dxa" w:w="80"/>
              <w:left w:type="dxa" w:w="100"/>
              <w:bottom w:type="dxa" w:w="80"/>
              <w:right w:type="dxa" w:w="100"/>
            </w:tcMar>
          </w:tcPr>
          <w:p>
            <w:r>
              <w:rPr>
                <w:b w:val="false"/>
                <w:bCs w:val="false"/>
                <w:color w:val="222222"/>
                <w:sz w:val="19"/>
                <w:szCs w:val="19"/>
              </w:rPr>
              <w:t xml:space="preserve">A licensed Payment Solution Service Provider / partner integrator onboarded to consume the platform's APIs (signup, API keys, webhooks) as a technical partner rather than an end merchant.</w:t>
            </w:r>
          </w:p>
        </w:tc>
      </w:tr>
      <w:tr>
        <w:tc>
          <w:tcPr>
            <w:tcMar>
              <w:top w:type="dxa" w:w="80"/>
              <w:left w:type="dxa" w:w="100"/>
              <w:bottom w:type="dxa" w:w="80"/>
              <w:right w:type="dxa" w:w="100"/>
            </w:tcMar>
          </w:tcPr>
          <w:p>
            <w:r>
              <w:rPr>
                <w:b w:val="false"/>
                <w:bCs w:val="false"/>
                <w:color w:val="222222"/>
                <w:sz w:val="19"/>
                <w:szCs w:val="19"/>
              </w:rPr>
              <w:t xml:space="preserve">BUSINESS</w:t>
            </w:r>
          </w:p>
        </w:tc>
        <w:tc>
          <w:tcPr>
            <w:tcMar>
              <w:top w:type="dxa" w:w="80"/>
              <w:left w:type="dxa" w:w="100"/>
              <w:bottom w:type="dxa" w:w="80"/>
              <w:right w:type="dxa" w:w="100"/>
            </w:tcMar>
          </w:tcPr>
          <w:p>
            <w:r>
              <w:rPr>
                <w:b w:val="false"/>
                <w:bCs w:val="false"/>
                <w:color w:val="222222"/>
                <w:sz w:val="19"/>
                <w:szCs w:val="19"/>
              </w:rPr>
              <w:t xml:space="preserve">A registered business entity (as opposed to an individual), able to onboard staff (admins/account officers) under it.</w:t>
            </w:r>
          </w:p>
        </w:tc>
      </w:tr>
    </w:tbl>
    <w:p>
      <w:pPr>
        <w:spacing w:after="160" w:line="276"/>
      </w:pPr>
      <w:r>
        <w:rPr>
          <w:sz w:val="21"/>
          <w:szCs w:val="21"/>
        </w:rPr>
        <w:t xml:space="preserve">A business or non-super-admin client should be able to create scoped internal roles (e.g. Admin, Account Officer) under its own account, each with permissions limited to that business's data — never platform-wide access.</w:t>
      </w:r>
    </w:p>
    <w:p>
      <w:r>
        <w:br w:type="page"/>
      </w:r>
    </w:p>
    <w:p>
      <w:pPr>
        <w:pStyle w:val="Heading1"/>
        <w:spacing w:after="160" w:before="360"/>
      </w:pPr>
      <w:r>
        <w:rPr>
          <w:b/>
          <w:bCs/>
          <w:color w:val="1F3864"/>
          <w:sz w:val="30"/>
          <w:szCs w:val="30"/>
        </w:rPr>
        <w:t xml:space="preserve">3. Functional Requirements</w:t>
      </w:r>
    </w:p>
    <w:p>
      <w:pPr>
        <w:pStyle w:val="Heading2"/>
        <w:spacing w:after="120" w:before="280"/>
      </w:pPr>
      <w:r>
        <w:rPr>
          <w:b/>
          <w:bCs/>
          <w:color w:val="0E7C7B"/>
          <w:sz w:val="25"/>
          <w:szCs w:val="25"/>
        </w:rPr>
        <w:t xml:space="preserve">3.1 Onboarding, Authentication &amp; Identity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c>
          <w:tcPr>
            <w:shd w:fill="1F3864" w:color="auto" w:val="clear"/>
            <w:tcMar>
              <w:top w:type="dxa" w:w="80"/>
              <w:left w:type="dxa" w:w="100"/>
              <w:bottom w:type="dxa" w:w="80"/>
              <w:right w:type="dxa" w:w="100"/>
            </w:tcMar>
          </w:tcPr>
          <w:p>
            <w:r>
              <w:rPr>
                <w:b/>
                <w:bCs/>
                <w:color w:val="FFFFFF"/>
                <w:sz w:val="19"/>
                <w:szCs w:val="19"/>
              </w:rPr>
              <w:t xml:space="preserve">ID</w:t>
            </w:r>
          </w:p>
        </w:tc>
        <w:tc>
          <w:tcPr>
            <w:shd w:fill="1F3864" w:color="auto" w:val="clear"/>
            <w:tcMar>
              <w:top w:type="dxa" w:w="80"/>
              <w:left w:type="dxa" w:w="100"/>
              <w:bottom w:type="dxa" w:w="80"/>
              <w:right w:type="dxa" w:w="100"/>
            </w:tcMar>
          </w:tcPr>
          <w:p>
            <w:r>
              <w:rPr>
                <w:b/>
                <w:bCs/>
                <w:color w:val="FFFFFF"/>
                <w:sz w:val="19"/>
                <w:szCs w:val="19"/>
              </w:rPr>
              <w:t xml:space="preserve">Requirement</w:t>
            </w:r>
          </w:p>
        </w:tc>
      </w:tr>
      <w:tr>
        <w:tc>
          <w:tcPr>
            <w:tcMar>
              <w:top w:type="dxa" w:w="80"/>
              <w:left w:type="dxa" w:w="100"/>
              <w:bottom w:type="dxa" w:w="80"/>
              <w:right w:type="dxa" w:w="100"/>
            </w:tcMar>
          </w:tcPr>
          <w:p>
            <w:r>
              <w:rPr>
                <w:b/>
                <w:bCs/>
                <w:color w:val="222222"/>
                <w:sz w:val="19"/>
                <w:szCs w:val="19"/>
              </w:rPr>
              <w:t xml:space="preserve">FR-1</w:t>
            </w:r>
          </w:p>
        </w:tc>
        <w:tc>
          <w:tcPr>
            <w:tcMar>
              <w:top w:type="dxa" w:w="80"/>
              <w:left w:type="dxa" w:w="100"/>
              <w:bottom w:type="dxa" w:w="80"/>
              <w:right w:type="dxa" w:w="100"/>
            </w:tcMar>
          </w:tcPr>
          <w:p>
            <w:r>
              <w:rPr>
                <w:b w:val="false"/>
                <w:bCs w:val="false"/>
                <w:color w:val="222222"/>
                <w:sz w:val="19"/>
                <w:szCs w:val="19"/>
              </w:rPr>
              <w:t xml:space="preserve">Users shall be able to sign up as an individual or as a business. On successful signup, the platform shall automatically provision a virtual account for that individual/business for the purpose of receiving collections.</w:t>
            </w:r>
          </w:p>
        </w:tc>
      </w:tr>
      <w:tr>
        <w:tc>
          <w:tcPr>
            <w:tcMar>
              <w:top w:type="dxa" w:w="80"/>
              <w:left w:type="dxa" w:w="100"/>
              <w:bottom w:type="dxa" w:w="80"/>
              <w:right w:type="dxa" w:w="100"/>
            </w:tcMar>
          </w:tcPr>
          <w:p>
            <w:r>
              <w:rPr>
                <w:b/>
                <w:bCs/>
                <w:color w:val="222222"/>
                <w:sz w:val="19"/>
                <w:szCs w:val="19"/>
              </w:rPr>
              <w:t xml:space="preserve">FR-8</w:t>
            </w:r>
          </w:p>
        </w:tc>
        <w:tc>
          <w:tcPr>
            <w:tcMar>
              <w:top w:type="dxa" w:w="80"/>
              <w:left w:type="dxa" w:w="100"/>
              <w:bottom w:type="dxa" w:w="80"/>
              <w:right w:type="dxa" w:w="100"/>
            </w:tcMar>
          </w:tcPr>
          <w:p>
            <w:r>
              <w:rPr>
                <w:b w:val="false"/>
                <w:bCs w:val="false"/>
                <w:color w:val="222222"/>
                <w:sz w:val="19"/>
                <w:szCs w:val="19"/>
              </w:rPr>
              <w:t xml:space="preserve">Onboarding shall include a KYC step (BVN/NIN verification for individuals, CAC/RC number verification for businesses in the Nigerian context). Two-factor authentication (2FA) shall be configurable per account (SMS OTP, authenticator app, or email OTP).</w:t>
            </w:r>
          </w:p>
        </w:tc>
      </w:tr>
      <w:tr>
        <w:tc>
          <w:tcPr>
            <w:tcMar>
              <w:top w:type="dxa" w:w="80"/>
              <w:left w:type="dxa" w:w="100"/>
              <w:bottom w:type="dxa" w:w="80"/>
              <w:right w:type="dxa" w:w="100"/>
            </w:tcMar>
          </w:tcPr>
          <w:p>
            <w:r>
              <w:rPr>
                <w:b/>
                <w:bCs/>
                <w:color w:val="222222"/>
                <w:sz w:val="19"/>
                <w:szCs w:val="19"/>
              </w:rPr>
              <w:t xml:space="preserve">FR-8a</w:t>
            </w:r>
          </w:p>
        </w:tc>
        <w:tc>
          <w:tcPr>
            <w:tcMar>
              <w:top w:type="dxa" w:w="80"/>
              <w:left w:type="dxa" w:w="100"/>
              <w:bottom w:type="dxa" w:w="80"/>
              <w:right w:type="dxa" w:w="100"/>
            </w:tcMar>
          </w:tcPr>
          <w:p>
            <w:r>
              <w:rPr>
                <w:b w:val="false"/>
                <w:bCs w:val="false"/>
                <w:color w:val="222222"/>
                <w:sz w:val="19"/>
                <w:szCs w:val="19"/>
              </w:rPr>
              <w:t xml:space="preserve">Transfers/collections above a configurable threshold (default: ₦50,000) shall trigger an additional, enhanced KYC/tier-upgrade process before the transaction is permitted, in line with CBN tiered-KYC guidance.</w:t>
            </w:r>
          </w:p>
        </w:tc>
      </w:tr>
      <w:tr>
        <w:tc>
          <w:tcPr>
            <w:tcMar>
              <w:top w:type="dxa" w:w="80"/>
              <w:left w:type="dxa" w:w="100"/>
              <w:bottom w:type="dxa" w:w="80"/>
              <w:right w:type="dxa" w:w="100"/>
            </w:tcMar>
          </w:tcPr>
          <w:p>
            <w:r>
              <w:rPr>
                <w:b/>
                <w:bCs/>
                <w:color w:val="222222"/>
                <w:sz w:val="19"/>
                <w:szCs w:val="19"/>
              </w:rPr>
              <w:t xml:space="preserve">FR-9</w:t>
            </w:r>
          </w:p>
        </w:tc>
        <w:tc>
          <w:tcPr>
            <w:tcMar>
              <w:top w:type="dxa" w:w="80"/>
              <w:left w:type="dxa" w:w="100"/>
              <w:bottom w:type="dxa" w:w="80"/>
              <w:right w:type="dxa" w:w="100"/>
            </w:tcMar>
          </w:tcPr>
          <w:p>
            <w:r>
              <w:rPr>
                <w:b w:val="false"/>
                <w:bCs w:val="false"/>
                <w:color w:val="222222"/>
                <w:sz w:val="19"/>
                <w:szCs w:val="19"/>
              </w:rPr>
              <w:t xml:space="preserve">Onboarded clients (businesses/PSSPs) shall be able to set up as partners: configure their account, or receive invites to sign up, and generate API credentials — secret key and public key pairs — plus configure a webhook URL and register for the webhook API.</w:t>
            </w:r>
          </w:p>
        </w:tc>
      </w:tr>
      <w:tr>
        <w:tc>
          <w:tcPr>
            <w:tcMar>
              <w:top w:type="dxa" w:w="80"/>
              <w:left w:type="dxa" w:w="100"/>
              <w:bottom w:type="dxa" w:w="80"/>
              <w:right w:type="dxa" w:w="100"/>
            </w:tcMar>
          </w:tcPr>
          <w:p>
            <w:r>
              <w:rPr>
                <w:b/>
                <w:bCs/>
                <w:color w:val="222222"/>
                <w:sz w:val="19"/>
                <w:szCs w:val="19"/>
              </w:rPr>
              <w:t xml:space="preserve">FR-Auth-1</w:t>
            </w:r>
          </w:p>
        </w:tc>
        <w:tc>
          <w:tcPr>
            <w:tcMar>
              <w:top w:type="dxa" w:w="80"/>
              <w:left w:type="dxa" w:w="100"/>
              <w:bottom w:type="dxa" w:w="80"/>
              <w:right w:type="dxa" w:w="100"/>
            </w:tcMar>
          </w:tcPr>
          <w:p>
            <w:r>
              <w:rPr>
                <w:b w:val="false"/>
                <w:bCs w:val="false"/>
                <w:color w:val="222222"/>
                <w:sz w:val="19"/>
                <w:szCs w:val="19"/>
              </w:rPr>
              <w:t xml:space="preserve">Users shall be able to onboard and authenticate with minimal friction ("without stress") and, once verified, be able to fund their wallet and transfer money within a configurable minimum transfer range.</w:t>
            </w:r>
          </w:p>
        </w:tc>
      </w:tr>
    </w:tbl>
    <w:p>
      <w:pPr>
        <w:pStyle w:val="Heading2"/>
        <w:spacing w:after="120" w:before="280"/>
      </w:pPr>
      <w:r>
        <w:rPr>
          <w:b/>
          <w:bCs/>
          <w:color w:val="0E7C7B"/>
          <w:sz w:val="25"/>
          <w:szCs w:val="25"/>
        </w:rPr>
        <w:t xml:space="preserve">3.2 Wallets, Virtual Accounts &amp; Collections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c>
          <w:tcPr>
            <w:shd w:fill="1F3864" w:color="auto" w:val="clear"/>
            <w:tcMar>
              <w:top w:type="dxa" w:w="80"/>
              <w:left w:type="dxa" w:w="100"/>
              <w:bottom w:type="dxa" w:w="80"/>
              <w:right w:type="dxa" w:w="100"/>
            </w:tcMar>
          </w:tcPr>
          <w:p>
            <w:r>
              <w:rPr>
                <w:b/>
                <w:bCs/>
                <w:color w:val="FFFFFF"/>
                <w:sz w:val="19"/>
                <w:szCs w:val="19"/>
              </w:rPr>
              <w:t xml:space="preserve">ID</w:t>
            </w:r>
          </w:p>
        </w:tc>
        <w:tc>
          <w:tcPr>
            <w:shd w:fill="1F3864" w:color="auto" w:val="clear"/>
            <w:tcMar>
              <w:top w:type="dxa" w:w="80"/>
              <w:left w:type="dxa" w:w="100"/>
              <w:bottom w:type="dxa" w:w="80"/>
              <w:right w:type="dxa" w:w="100"/>
            </w:tcMar>
          </w:tcPr>
          <w:p>
            <w:r>
              <w:rPr>
                <w:b/>
                <w:bCs/>
                <w:color w:val="FFFFFF"/>
                <w:sz w:val="19"/>
                <w:szCs w:val="19"/>
              </w:rPr>
              <w:t xml:space="preserve">Requirement</w:t>
            </w:r>
          </w:p>
        </w:tc>
      </w:tr>
      <w:tr>
        <w:tc>
          <w:tcPr>
            <w:tcMar>
              <w:top w:type="dxa" w:w="80"/>
              <w:left w:type="dxa" w:w="100"/>
              <w:bottom w:type="dxa" w:w="80"/>
              <w:right w:type="dxa" w:w="100"/>
            </w:tcMar>
          </w:tcPr>
          <w:p>
            <w:r>
              <w:rPr>
                <w:b/>
                <w:bCs/>
                <w:color w:val="222222"/>
                <w:sz w:val="19"/>
                <w:szCs w:val="19"/>
              </w:rPr>
              <w:t xml:space="preserve">FR-10</w:t>
            </w:r>
          </w:p>
        </w:tc>
        <w:tc>
          <w:tcPr>
            <w:tcMar>
              <w:top w:type="dxa" w:w="80"/>
              <w:left w:type="dxa" w:w="100"/>
              <w:bottom w:type="dxa" w:w="80"/>
              <w:right w:type="dxa" w:w="100"/>
            </w:tcMar>
          </w:tcPr>
          <w:p>
            <w:r>
              <w:rPr>
                <w:b w:val="false"/>
                <w:bCs w:val="false"/>
                <w:color w:val="222222"/>
                <w:sz w:val="19"/>
                <w:szCs w:val="19"/>
              </w:rPr>
              <w:t xml:space="preserve">The platform functions as a revenue/payment collector: money received on behalf of a user is recorded against that user's virtual account balance internally, while the actual NIBSS deposit is received into Nawill Pay's pooled collection account, held in partnership with a commercial or microfinance bank. Internal ledger balances must always reconcile against the real pooled balance.</w:t>
            </w:r>
          </w:p>
        </w:tc>
      </w:tr>
      <w:tr>
        <w:tc>
          <w:tcPr>
            <w:tcMar>
              <w:top w:type="dxa" w:w="80"/>
              <w:left w:type="dxa" w:w="100"/>
              <w:bottom w:type="dxa" w:w="80"/>
              <w:right w:type="dxa" w:w="100"/>
            </w:tcMar>
          </w:tcPr>
          <w:p>
            <w:r>
              <w:rPr>
                <w:b/>
                <w:bCs/>
                <w:color w:val="222222"/>
                <w:sz w:val="19"/>
                <w:szCs w:val="19"/>
              </w:rPr>
              <w:t xml:space="preserve">FR-2</w:t>
            </w:r>
          </w:p>
        </w:tc>
        <w:tc>
          <w:tcPr>
            <w:tcMar>
              <w:top w:type="dxa" w:w="80"/>
              <w:left w:type="dxa" w:w="100"/>
              <w:bottom w:type="dxa" w:w="80"/>
              <w:right w:type="dxa" w:w="100"/>
            </w:tcMar>
          </w:tcPr>
          <w:p>
            <w:r>
              <w:rPr>
                <w:b w:val="false"/>
                <w:bCs w:val="false"/>
                <w:color w:val="222222"/>
                <w:sz w:val="19"/>
                <w:szCs w:val="19"/>
              </w:rPr>
              <w:t xml:space="preserve">Users shall be able to configure settlement splits: an inbound payment can be split by percentage across multiple recipients/settlement accounts, with amounts automatically distributed and disbursed to the due settlement account(s) per the configured split.</w:t>
            </w:r>
          </w:p>
        </w:tc>
      </w:tr>
      <w:tr>
        <w:tc>
          <w:tcPr>
            <w:tcMar>
              <w:top w:type="dxa" w:w="80"/>
              <w:left w:type="dxa" w:w="100"/>
              <w:bottom w:type="dxa" w:w="80"/>
              <w:right w:type="dxa" w:w="100"/>
            </w:tcMar>
          </w:tcPr>
          <w:p>
            <w:r>
              <w:rPr>
                <w:b/>
                <w:bCs/>
                <w:color w:val="222222"/>
                <w:sz w:val="19"/>
                <w:szCs w:val="19"/>
              </w:rPr>
              <w:t xml:space="preserve">FR-12</w:t>
            </w:r>
          </w:p>
        </w:tc>
        <w:tc>
          <w:tcPr>
            <w:tcMar>
              <w:top w:type="dxa" w:w="80"/>
              <w:left w:type="dxa" w:w="100"/>
              <w:bottom w:type="dxa" w:w="80"/>
              <w:right w:type="dxa" w:w="100"/>
            </w:tcMar>
          </w:tcPr>
          <w:p>
            <w:r>
              <w:rPr>
                <w:b w:val="false"/>
                <w:bCs w:val="false"/>
                <w:color w:val="222222"/>
                <w:sz w:val="19"/>
                <w:szCs w:val="19"/>
              </w:rPr>
              <w:t xml:space="preserve">The minimum transferable/collectable amount shall default to ₦50 and shall be configurable per environment/business.</w:t>
            </w:r>
          </w:p>
        </w:tc>
      </w:tr>
      <w:tr>
        <w:tc>
          <w:tcPr>
            <w:tcMar>
              <w:top w:type="dxa" w:w="80"/>
              <w:left w:type="dxa" w:w="100"/>
              <w:bottom w:type="dxa" w:w="80"/>
              <w:right w:type="dxa" w:w="100"/>
            </w:tcMar>
          </w:tcPr>
          <w:p>
            <w:r>
              <w:rPr>
                <w:b/>
                <w:bCs/>
                <w:color w:val="222222"/>
                <w:sz w:val="19"/>
                <w:szCs w:val="19"/>
              </w:rPr>
              <w:t xml:space="preserve">FR-13</w:t>
            </w:r>
          </w:p>
        </w:tc>
        <w:tc>
          <w:tcPr>
            <w:tcMar>
              <w:top w:type="dxa" w:w="80"/>
              <w:left w:type="dxa" w:w="100"/>
              <w:bottom w:type="dxa" w:w="80"/>
              <w:right w:type="dxa" w:w="100"/>
            </w:tcMar>
          </w:tcPr>
          <w:p>
            <w:r>
              <w:rPr>
                <w:b w:val="false"/>
                <w:bCs w:val="false"/>
                <w:color w:val="222222"/>
                <w:sz w:val="19"/>
                <w:szCs w:val="19"/>
              </w:rPr>
              <w:t xml:space="preserve">The default platform currency is Naira (NGN). The currency field must be modelled to support additional currencies in future phases without a schema rewrite.</w:t>
            </w:r>
          </w:p>
        </w:tc>
      </w:tr>
    </w:tbl>
    <w:p>
      <w:pPr>
        <w:pStyle w:val="Heading2"/>
        <w:spacing w:after="120" w:before="280"/>
      </w:pPr>
      <w:r>
        <w:rPr>
          <w:b/>
          <w:bCs/>
          <w:color w:val="0E7C7B"/>
          <w:sz w:val="25"/>
          <w:szCs w:val="25"/>
        </w:rPr>
        <w:t xml:space="preserve">3.3 Transactions, Fees &amp; Payment Links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c>
          <w:tcPr>
            <w:shd w:fill="1F3864" w:color="auto" w:val="clear"/>
            <w:tcMar>
              <w:top w:type="dxa" w:w="80"/>
              <w:left w:type="dxa" w:w="100"/>
              <w:bottom w:type="dxa" w:w="80"/>
              <w:right w:type="dxa" w:w="100"/>
            </w:tcMar>
          </w:tcPr>
          <w:p>
            <w:r>
              <w:rPr>
                <w:b/>
                <w:bCs/>
                <w:color w:val="FFFFFF"/>
                <w:sz w:val="19"/>
                <w:szCs w:val="19"/>
              </w:rPr>
              <w:t xml:space="preserve">ID</w:t>
            </w:r>
          </w:p>
        </w:tc>
        <w:tc>
          <w:tcPr>
            <w:shd w:fill="1F3864" w:color="auto" w:val="clear"/>
            <w:tcMar>
              <w:top w:type="dxa" w:w="80"/>
              <w:left w:type="dxa" w:w="100"/>
              <w:bottom w:type="dxa" w:w="80"/>
              <w:right w:type="dxa" w:w="100"/>
            </w:tcMar>
          </w:tcPr>
          <w:p>
            <w:r>
              <w:rPr>
                <w:b/>
                <w:bCs/>
                <w:color w:val="FFFFFF"/>
                <w:sz w:val="19"/>
                <w:szCs w:val="19"/>
              </w:rPr>
              <w:t xml:space="preserve">Requirement</w:t>
            </w:r>
          </w:p>
        </w:tc>
      </w:tr>
      <w:tr>
        <w:tc>
          <w:tcPr>
            <w:tcMar>
              <w:top w:type="dxa" w:w="80"/>
              <w:left w:type="dxa" w:w="100"/>
              <w:bottom w:type="dxa" w:w="80"/>
              <w:right w:type="dxa" w:w="100"/>
            </w:tcMar>
          </w:tcPr>
          <w:p>
            <w:r>
              <w:rPr>
                <w:b/>
                <w:bCs/>
                <w:color w:val="222222"/>
                <w:sz w:val="19"/>
                <w:szCs w:val="19"/>
              </w:rPr>
              <w:t xml:space="preserve">FR-11</w:t>
            </w:r>
          </w:p>
        </w:tc>
        <w:tc>
          <w:tcPr>
            <w:tcMar>
              <w:top w:type="dxa" w:w="80"/>
              <w:left w:type="dxa" w:w="100"/>
              <w:bottom w:type="dxa" w:w="80"/>
              <w:right w:type="dxa" w:w="100"/>
            </w:tcMar>
          </w:tcPr>
          <w:p>
            <w:r>
              <w:rPr>
                <w:b w:val="false"/>
                <w:bCs w:val="false"/>
                <w:color w:val="222222"/>
                <w:sz w:val="19"/>
                <w:szCs w:val="19"/>
              </w:rPr>
              <w:t xml:space="preserve">Every transaction processed on the platform shall attract a configurable transaction charge based on amount tiers. Default tiers: &lt; ₦2,000 → ₦50; ₦2,000–₦15,000 → ₦100; ₦15,000–₦50,000 → ₦200; &gt; ₦50,000 → ₦300. Tier boundaries and amounts must be admin-configurable.</w:t>
            </w:r>
          </w:p>
        </w:tc>
      </w:tr>
      <w:tr>
        <w:tc>
          <w:tcPr>
            <w:tcMar>
              <w:top w:type="dxa" w:w="80"/>
              <w:left w:type="dxa" w:w="100"/>
              <w:bottom w:type="dxa" w:w="80"/>
              <w:right w:type="dxa" w:w="100"/>
            </w:tcMar>
          </w:tcPr>
          <w:p>
            <w:r>
              <w:rPr>
                <w:b/>
                <w:bCs/>
                <w:color w:val="222222"/>
                <w:sz w:val="19"/>
                <w:szCs w:val="19"/>
              </w:rPr>
              <w:t xml:space="preserve">FR-14</w:t>
            </w:r>
          </w:p>
        </w:tc>
        <w:tc>
          <w:tcPr>
            <w:tcMar>
              <w:top w:type="dxa" w:w="80"/>
              <w:left w:type="dxa" w:w="100"/>
              <w:bottom w:type="dxa" w:w="80"/>
              <w:right w:type="dxa" w:w="100"/>
            </w:tcMar>
          </w:tcPr>
          <w:p>
            <w:r>
              <w:rPr>
                <w:b w:val="false"/>
                <w:bCs w:val="false"/>
                <w:color w:val="222222"/>
                <w:sz w:val="19"/>
                <w:szCs w:val="19"/>
              </w:rPr>
              <w:t xml:space="preserve">The system shall be able to generate payment links, including permanent payment links and temporary (time-bound / single-use) payment links, both with configurable expiration.</w:t>
            </w:r>
          </w:p>
        </w:tc>
      </w:tr>
      <w:tr>
        <w:tc>
          <w:tcPr>
            <w:tcMar>
              <w:top w:type="dxa" w:w="80"/>
              <w:left w:type="dxa" w:w="100"/>
              <w:bottom w:type="dxa" w:w="80"/>
              <w:right w:type="dxa" w:w="100"/>
            </w:tcMar>
          </w:tcPr>
          <w:p>
            <w:r>
              <w:rPr>
                <w:b/>
                <w:bCs/>
                <w:color w:val="222222"/>
                <w:sz w:val="19"/>
                <w:szCs w:val="19"/>
              </w:rPr>
              <w:t xml:space="preserve">FR-Txn-1</w:t>
            </w:r>
          </w:p>
        </w:tc>
        <w:tc>
          <w:tcPr>
            <w:tcMar>
              <w:top w:type="dxa" w:w="80"/>
              <w:left w:type="dxa" w:w="100"/>
              <w:bottom w:type="dxa" w:w="80"/>
              <w:right w:type="dxa" w:w="100"/>
            </w:tcMar>
          </w:tcPr>
          <w:p>
            <w:r>
              <w:rPr>
                <w:b w:val="false"/>
                <w:bCs w:val="false"/>
                <w:color w:val="222222"/>
                <w:sz w:val="19"/>
                <w:szCs w:val="19"/>
              </w:rPr>
              <w:t xml:space="preserve">Every transaction shall be idempotency-protected via a client-supplied or system-generated idempotency key, guaranteeing a given payment intent is processed and charged at most once even under retries.</w:t>
            </w:r>
          </w:p>
        </w:tc>
      </w:tr>
      <w:tr>
        <w:tc>
          <w:tcPr>
            <w:tcMar>
              <w:top w:type="dxa" w:w="80"/>
              <w:left w:type="dxa" w:w="100"/>
              <w:bottom w:type="dxa" w:w="80"/>
              <w:right w:type="dxa" w:w="100"/>
            </w:tcMar>
          </w:tcPr>
          <w:p>
            <w:r>
              <w:rPr>
                <w:b/>
                <w:bCs/>
                <w:color w:val="222222"/>
                <w:sz w:val="19"/>
                <w:szCs w:val="19"/>
              </w:rPr>
              <w:t xml:space="preserve">FR-Txn-2</w:t>
            </w:r>
          </w:p>
        </w:tc>
        <w:tc>
          <w:tcPr>
            <w:tcMar>
              <w:top w:type="dxa" w:w="80"/>
              <w:left w:type="dxa" w:w="100"/>
              <w:bottom w:type="dxa" w:w="80"/>
              <w:right w:type="dxa" w:w="100"/>
            </w:tcMar>
          </w:tcPr>
          <w:p>
            <w:r>
              <w:rPr>
                <w:b w:val="false"/>
                <w:bCs w:val="false"/>
                <w:color w:val="222222"/>
                <w:sz w:val="19"/>
                <w:szCs w:val="19"/>
              </w:rPr>
              <w:t xml:space="preserve">Every transaction shall carry a transaction type (Credit / Debit), a transaction status (see §5, Schema Design), a session ID, a linked payment processor reference, and a recipient account reference.</w:t>
            </w:r>
          </w:p>
        </w:tc>
      </w:tr>
    </w:tbl>
    <w:p>
      <w:pPr>
        <w:pStyle w:val="Heading2"/>
        <w:spacing w:after="120" w:before="280"/>
      </w:pPr>
      <w:r>
        <w:rPr>
          <w:b/>
          <w:bCs/>
          <w:color w:val="0E7C7B"/>
          <w:sz w:val="25"/>
          <w:szCs w:val="25"/>
        </w:rPr>
        <w:t xml:space="preserve">3.4 Payment Processor Integration &amp; Reconciliation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c>
          <w:tcPr>
            <w:shd w:fill="1F3864" w:color="auto" w:val="clear"/>
            <w:tcMar>
              <w:top w:type="dxa" w:w="80"/>
              <w:left w:type="dxa" w:w="100"/>
              <w:bottom w:type="dxa" w:w="80"/>
              <w:right w:type="dxa" w:w="100"/>
            </w:tcMar>
          </w:tcPr>
          <w:p>
            <w:r>
              <w:rPr>
                <w:b/>
                <w:bCs/>
                <w:color w:val="FFFFFF"/>
                <w:sz w:val="19"/>
                <w:szCs w:val="19"/>
              </w:rPr>
              <w:t xml:space="preserve">ID</w:t>
            </w:r>
          </w:p>
        </w:tc>
        <w:tc>
          <w:tcPr>
            <w:shd w:fill="1F3864" w:color="auto" w:val="clear"/>
            <w:tcMar>
              <w:top w:type="dxa" w:w="80"/>
              <w:left w:type="dxa" w:w="100"/>
              <w:bottom w:type="dxa" w:w="80"/>
              <w:right w:type="dxa" w:w="100"/>
            </w:tcMar>
          </w:tcPr>
          <w:p>
            <w:r>
              <w:rPr>
                <w:b/>
                <w:bCs/>
                <w:color w:val="FFFFFF"/>
                <w:sz w:val="19"/>
                <w:szCs w:val="19"/>
              </w:rPr>
              <w:t xml:space="preserve">Requirement</w:t>
            </w:r>
          </w:p>
        </w:tc>
      </w:tr>
      <w:tr>
        <w:tc>
          <w:tcPr>
            <w:tcMar>
              <w:top w:type="dxa" w:w="80"/>
              <w:left w:type="dxa" w:w="100"/>
              <w:bottom w:type="dxa" w:w="80"/>
              <w:right w:type="dxa" w:w="100"/>
            </w:tcMar>
          </w:tcPr>
          <w:p>
            <w:r>
              <w:rPr>
                <w:b/>
                <w:bCs/>
                <w:color w:val="222222"/>
                <w:sz w:val="19"/>
                <w:szCs w:val="19"/>
              </w:rPr>
              <w:t xml:space="preserve">FR-6</w:t>
            </w:r>
          </w:p>
        </w:tc>
        <w:tc>
          <w:tcPr>
            <w:tcMar>
              <w:top w:type="dxa" w:w="80"/>
              <w:left w:type="dxa" w:w="100"/>
              <w:bottom w:type="dxa" w:w="80"/>
              <w:right w:type="dxa" w:w="100"/>
            </w:tcMar>
          </w:tcPr>
          <w:p>
            <w:r>
              <w:rPr>
                <w:b w:val="false"/>
                <w:bCs w:val="false"/>
                <w:color w:val="222222"/>
                <w:sz w:val="19"/>
                <w:szCs w:val="19"/>
              </w:rPr>
              <w:t xml:space="preserve">Payment processors (e.g. Paystack, Interswitch, Flutterwave) shall be onboarded and configured on the platform as first-class entities. Activating/configuring a processor shall be restricted to a privileged "Supply Admin" role only.</w:t>
            </w:r>
          </w:p>
        </w:tc>
      </w:tr>
      <w:tr>
        <w:tc>
          <w:tcPr>
            <w:tcMar>
              <w:top w:type="dxa" w:w="80"/>
              <w:left w:type="dxa" w:w="100"/>
              <w:bottom w:type="dxa" w:w="80"/>
              <w:right w:type="dxa" w:w="100"/>
            </w:tcMar>
          </w:tcPr>
          <w:p>
            <w:r>
              <w:rPr>
                <w:b/>
                <w:bCs/>
                <w:color w:val="222222"/>
                <w:sz w:val="19"/>
                <w:szCs w:val="19"/>
              </w:rPr>
              <w:t xml:space="preserve">FR-7</w:t>
            </w:r>
          </w:p>
        </w:tc>
        <w:tc>
          <w:tcPr>
            <w:tcMar>
              <w:top w:type="dxa" w:w="80"/>
              <w:left w:type="dxa" w:w="100"/>
              <w:bottom w:type="dxa" w:w="80"/>
              <w:right w:type="dxa" w:w="100"/>
            </w:tcMar>
          </w:tcPr>
          <w:p>
            <w:r>
              <w:rPr>
                <w:b w:val="false"/>
                <w:bCs w:val="false"/>
                <w:color w:val="222222"/>
                <w:sz w:val="19"/>
                <w:szCs w:val="19"/>
              </w:rPr>
              <w:t xml:space="preserve">The platform shall receive and process inbound webhooks from payment processors and perform reconciliation against internal transaction records.</w:t>
            </w:r>
          </w:p>
        </w:tc>
      </w:tr>
      <w:tr>
        <w:tc>
          <w:tcPr>
            <w:tcMar>
              <w:top w:type="dxa" w:w="80"/>
              <w:left w:type="dxa" w:w="100"/>
              <w:bottom w:type="dxa" w:w="80"/>
              <w:right w:type="dxa" w:w="100"/>
            </w:tcMar>
          </w:tcPr>
          <w:p>
            <w:r>
              <w:rPr>
                <w:b/>
                <w:bCs/>
                <w:color w:val="222222"/>
                <w:sz w:val="19"/>
                <w:szCs w:val="19"/>
              </w:rPr>
              <w:t xml:space="preserve">FR-Recon-1</w:t>
            </w:r>
          </w:p>
        </w:tc>
        <w:tc>
          <w:tcPr>
            <w:tcMar>
              <w:top w:type="dxa" w:w="80"/>
              <w:left w:type="dxa" w:w="100"/>
              <w:bottom w:type="dxa" w:w="80"/>
              <w:right w:type="dxa" w:w="100"/>
            </w:tcMar>
          </w:tcPr>
          <w:p>
            <w:r>
              <w:rPr>
                <w:b w:val="false"/>
                <w:bCs w:val="false"/>
                <w:color w:val="222222"/>
                <w:sz w:val="19"/>
                <w:szCs w:val="19"/>
              </w:rPr>
              <w:t xml:space="preserve">A scheduled reconciliation job shall run every 6 hours to reconcile transactions against processor and NIBSS records, flagging mismatches for admin review.</w:t>
            </w:r>
          </w:p>
        </w:tc>
      </w:tr>
      <w:tr>
        <w:tc>
          <w:tcPr>
            <w:tcMar>
              <w:top w:type="dxa" w:w="80"/>
              <w:left w:type="dxa" w:w="100"/>
              <w:bottom w:type="dxa" w:w="80"/>
              <w:right w:type="dxa" w:w="100"/>
            </w:tcMar>
          </w:tcPr>
          <w:p>
            <w:r>
              <w:rPr>
                <w:b/>
                <w:bCs/>
                <w:color w:val="222222"/>
                <w:sz w:val="19"/>
                <w:szCs w:val="19"/>
              </w:rPr>
              <w:t xml:space="preserve">FR-Recon-2</w:t>
            </w:r>
          </w:p>
        </w:tc>
        <w:tc>
          <w:tcPr>
            <w:tcMar>
              <w:top w:type="dxa" w:w="80"/>
              <w:left w:type="dxa" w:w="100"/>
              <w:bottom w:type="dxa" w:w="80"/>
              <w:right w:type="dxa" w:w="100"/>
            </w:tcMar>
          </w:tcPr>
          <w:p>
            <w:r>
              <w:rPr>
                <w:b w:val="false"/>
                <w:bCs w:val="false"/>
                <w:color w:val="222222"/>
                <w:sz w:val="19"/>
                <w:szCs w:val="19"/>
              </w:rPr>
              <w:t xml:space="preserve">The platform shall support outbound webhooks (notifying integrating partners of transaction events) as well as inbound webhooks (receiving processor events), and shall support requery of a transaction's true status directly from the processor when a webhook is missed or delayed.</w:t>
            </w:r>
          </w:p>
        </w:tc>
      </w:tr>
    </w:tbl>
    <w:p>
      <w:pPr>
        <w:pStyle w:val="Heading2"/>
        <w:spacing w:after="120" w:before="280"/>
      </w:pPr>
      <w:r>
        <w:rPr>
          <w:b/>
          <w:bCs/>
          <w:color w:val="0E7C7B"/>
          <w:sz w:val="25"/>
          <w:szCs w:val="25"/>
        </w:rPr>
        <w:t xml:space="preserve">3.5 Administration &amp; Access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c>
          <w:tcPr>
            <w:shd w:fill="1F3864" w:color="auto" w:val="clear"/>
            <w:tcMar>
              <w:top w:type="dxa" w:w="80"/>
              <w:left w:type="dxa" w:w="100"/>
              <w:bottom w:type="dxa" w:w="80"/>
              <w:right w:type="dxa" w:w="100"/>
            </w:tcMar>
          </w:tcPr>
          <w:p>
            <w:r>
              <w:rPr>
                <w:b/>
                <w:bCs/>
                <w:color w:val="FFFFFF"/>
                <w:sz w:val="19"/>
                <w:szCs w:val="19"/>
              </w:rPr>
              <w:t xml:space="preserve">ID</w:t>
            </w:r>
          </w:p>
        </w:tc>
        <w:tc>
          <w:tcPr>
            <w:shd w:fill="1F3864" w:color="auto" w:val="clear"/>
            <w:tcMar>
              <w:top w:type="dxa" w:w="80"/>
              <w:left w:type="dxa" w:w="100"/>
              <w:bottom w:type="dxa" w:w="80"/>
              <w:right w:type="dxa" w:w="100"/>
            </w:tcMar>
          </w:tcPr>
          <w:p>
            <w:r>
              <w:rPr>
                <w:b/>
                <w:bCs/>
                <w:color w:val="FFFFFF"/>
                <w:sz w:val="19"/>
                <w:szCs w:val="19"/>
              </w:rPr>
              <w:t xml:space="preserve">Requirement</w:t>
            </w:r>
          </w:p>
        </w:tc>
      </w:tr>
      <w:tr>
        <w:tc>
          <w:tcPr>
            <w:tcMar>
              <w:top w:type="dxa" w:w="80"/>
              <w:left w:type="dxa" w:w="100"/>
              <w:bottom w:type="dxa" w:w="80"/>
              <w:right w:type="dxa" w:w="100"/>
            </w:tcMar>
          </w:tcPr>
          <w:p>
            <w:r>
              <w:rPr>
                <w:b/>
                <w:bCs/>
                <w:color w:val="222222"/>
                <w:sz w:val="19"/>
                <w:szCs w:val="19"/>
              </w:rPr>
              <w:t xml:space="preserve">FR-3</w:t>
            </w:r>
          </w:p>
        </w:tc>
        <w:tc>
          <w:tcPr>
            <w:tcMar>
              <w:top w:type="dxa" w:w="80"/>
              <w:left w:type="dxa" w:w="100"/>
              <w:bottom w:type="dxa" w:w="80"/>
              <w:right w:type="dxa" w:w="100"/>
            </w:tcMar>
          </w:tcPr>
          <w:p>
            <w:r>
              <w:rPr>
                <w:b w:val="false"/>
                <w:bCs w:val="false"/>
                <w:color w:val="222222"/>
                <w:sz w:val="19"/>
                <w:szCs w:val="19"/>
              </w:rPr>
              <w:t xml:space="preserve">There shall be an admin portal/page where authorized users can view analytics such as transactions, business performance, and settlement summaries, filterable by business, date range, and transaction status.</w:t>
            </w:r>
          </w:p>
        </w:tc>
      </w:tr>
      <w:tr>
        <w:tc>
          <w:tcPr>
            <w:tcMar>
              <w:top w:type="dxa" w:w="80"/>
              <w:left w:type="dxa" w:w="100"/>
              <w:bottom w:type="dxa" w:w="80"/>
              <w:right w:type="dxa" w:w="100"/>
            </w:tcMar>
          </w:tcPr>
          <w:p>
            <w:r>
              <w:rPr>
                <w:b/>
                <w:bCs/>
                <w:color w:val="222222"/>
                <w:sz w:val="19"/>
                <w:szCs w:val="19"/>
              </w:rPr>
              <w:t xml:space="preserve">FR-4</w:t>
            </w:r>
          </w:p>
        </w:tc>
        <w:tc>
          <w:tcPr>
            <w:tcMar>
              <w:top w:type="dxa" w:w="80"/>
              <w:left w:type="dxa" w:w="100"/>
              <w:bottom w:type="dxa" w:w="80"/>
              <w:right w:type="dxa" w:w="100"/>
            </w:tcMar>
          </w:tcPr>
          <w:p>
            <w:r>
              <w:rPr>
                <w:b w:val="false"/>
                <w:bCs w:val="false"/>
                <w:color w:val="222222"/>
                <w:sz w:val="19"/>
                <w:szCs w:val="19"/>
              </w:rPr>
              <w:t xml:space="preserve">There shall be a well-defined RBAC model governing the admin portal. Access to any admin capability must be gated by an explicit permission, not an implicit role check.</w:t>
            </w:r>
          </w:p>
        </w:tc>
      </w:tr>
      <w:tr>
        <w:tc>
          <w:tcPr>
            <w:tcMar>
              <w:top w:type="dxa" w:w="80"/>
              <w:left w:type="dxa" w:w="100"/>
              <w:bottom w:type="dxa" w:w="80"/>
              <w:right w:type="dxa" w:w="100"/>
            </w:tcMar>
          </w:tcPr>
          <w:p>
            <w:r>
              <w:rPr>
                <w:b/>
                <w:bCs/>
                <w:color w:val="222222"/>
                <w:sz w:val="19"/>
                <w:szCs w:val="19"/>
              </w:rPr>
              <w:t xml:space="preserve">FR-5</w:t>
            </w:r>
          </w:p>
        </w:tc>
        <w:tc>
          <w:tcPr>
            <w:tcMar>
              <w:top w:type="dxa" w:w="80"/>
              <w:left w:type="dxa" w:w="100"/>
              <w:bottom w:type="dxa" w:w="80"/>
              <w:right w:type="dxa" w:w="100"/>
            </w:tcMar>
          </w:tcPr>
          <w:p>
            <w:r>
              <w:rPr>
                <w:b w:val="false"/>
                <w:bCs w:val="false"/>
                <w:color w:val="222222"/>
                <w:sz w:val="19"/>
                <w:szCs w:val="19"/>
              </w:rPr>
              <w:t xml:space="preserve">SUPERADMIN shall have unrestricted, seeded access by default and shall not be a self-service-creatable role.</w:t>
            </w:r>
          </w:p>
        </w:tc>
      </w:tr>
      <w:tr>
        <w:tc>
          <w:tcPr>
            <w:tcMar>
              <w:top w:type="dxa" w:w="80"/>
              <w:left w:type="dxa" w:w="100"/>
              <w:bottom w:type="dxa" w:w="80"/>
              <w:right w:type="dxa" w:w="100"/>
            </w:tcMar>
          </w:tcPr>
          <w:p>
            <w:r>
              <w:rPr>
                <w:b/>
                <w:bCs/>
                <w:color w:val="222222"/>
                <w:sz w:val="19"/>
                <w:szCs w:val="19"/>
              </w:rPr>
              <w:t xml:space="preserve">FR-5a</w:t>
            </w:r>
          </w:p>
        </w:tc>
        <w:tc>
          <w:tcPr>
            <w:tcMar>
              <w:top w:type="dxa" w:w="80"/>
              <w:left w:type="dxa" w:w="100"/>
              <w:bottom w:type="dxa" w:w="80"/>
              <w:right w:type="dxa" w:w="100"/>
            </w:tcMar>
          </w:tcPr>
          <w:p>
            <w:r>
              <w:rPr>
                <w:b w:val="false"/>
                <w:bCs w:val="false"/>
                <w:color w:val="222222"/>
                <w:sz w:val="19"/>
                <w:szCs w:val="19"/>
              </w:rPr>
              <w:t xml:space="preserve">A business/client account (non-superadmin) shall be able to create scoped admin/staff roles (e.g. Admin, Account Officer) under itself, each with permissions limited to its own business/account scope — never platform-wide.</w:t>
            </w:r>
          </w:p>
        </w:tc>
      </w:tr>
    </w:tbl>
    <w:p>
      <w:pPr>
        <w:pStyle w:val="Heading2"/>
        <w:spacing w:after="120" w:before="280"/>
      </w:pPr>
      <w:r>
        <w:rPr>
          <w:b/>
          <w:bCs/>
          <w:color w:val="0E7C7B"/>
          <w:sz w:val="25"/>
          <w:szCs w:val="25"/>
        </w:rPr>
        <w:t xml:space="preserve">3.6 Notifications &amp; Reporting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c>
          <w:tcPr>
            <w:shd w:fill="1F3864" w:color="auto" w:val="clear"/>
            <w:tcMar>
              <w:top w:type="dxa" w:w="80"/>
              <w:left w:type="dxa" w:w="100"/>
              <w:bottom w:type="dxa" w:w="80"/>
              <w:right w:type="dxa" w:w="100"/>
            </w:tcMar>
          </w:tcPr>
          <w:p>
            <w:r>
              <w:rPr>
                <w:b/>
                <w:bCs/>
                <w:color w:val="FFFFFF"/>
                <w:sz w:val="19"/>
                <w:szCs w:val="19"/>
              </w:rPr>
              <w:t xml:space="preserve">ID</w:t>
            </w:r>
          </w:p>
        </w:tc>
        <w:tc>
          <w:tcPr>
            <w:shd w:fill="1F3864" w:color="auto" w:val="clear"/>
            <w:tcMar>
              <w:top w:type="dxa" w:w="80"/>
              <w:left w:type="dxa" w:w="100"/>
              <w:bottom w:type="dxa" w:w="80"/>
              <w:right w:type="dxa" w:w="100"/>
            </w:tcMar>
          </w:tcPr>
          <w:p>
            <w:r>
              <w:rPr>
                <w:b/>
                <w:bCs/>
                <w:color w:val="FFFFFF"/>
                <w:sz w:val="19"/>
                <w:szCs w:val="19"/>
              </w:rPr>
              <w:t xml:space="preserve">Requirement</w:t>
            </w:r>
          </w:p>
        </w:tc>
      </w:tr>
      <w:tr>
        <w:tc>
          <w:tcPr>
            <w:tcMar>
              <w:top w:type="dxa" w:w="80"/>
              <w:left w:type="dxa" w:w="100"/>
              <w:bottom w:type="dxa" w:w="80"/>
              <w:right w:type="dxa" w:w="100"/>
            </w:tcMar>
          </w:tcPr>
          <w:p>
            <w:r>
              <w:rPr>
                <w:b/>
                <w:bCs/>
                <w:color w:val="222222"/>
                <w:sz w:val="19"/>
                <w:szCs w:val="19"/>
              </w:rPr>
              <w:t xml:space="preserve">FR-Notif-1</w:t>
            </w:r>
          </w:p>
        </w:tc>
        <w:tc>
          <w:tcPr>
            <w:tcMar>
              <w:top w:type="dxa" w:w="80"/>
              <w:left w:type="dxa" w:w="100"/>
              <w:bottom w:type="dxa" w:w="80"/>
              <w:right w:type="dxa" w:w="100"/>
            </w:tcMar>
          </w:tcPr>
          <w:p>
            <w:r>
              <w:rPr>
                <w:b w:val="false"/>
                <w:bCs w:val="false"/>
                <w:color w:val="222222"/>
                <w:sz w:val="19"/>
                <w:szCs w:val="19"/>
              </w:rPr>
              <w:t xml:space="preserve">The platform shall notify users of key events — successful/failed transactions, debits, credits, and profile/security updates — via configurable channels (email, SMS, push, in-app).</w:t>
            </w:r>
          </w:p>
        </w:tc>
      </w:tr>
      <w:tr>
        <w:tc>
          <w:tcPr>
            <w:tcMar>
              <w:top w:type="dxa" w:w="80"/>
              <w:left w:type="dxa" w:w="100"/>
              <w:bottom w:type="dxa" w:w="80"/>
              <w:right w:type="dxa" w:w="100"/>
            </w:tcMar>
          </w:tcPr>
          <w:p>
            <w:r>
              <w:rPr>
                <w:b/>
                <w:bCs/>
                <w:color w:val="222222"/>
                <w:sz w:val="19"/>
                <w:szCs w:val="19"/>
              </w:rPr>
              <w:t xml:space="preserve">FR-Report-1</w:t>
            </w:r>
          </w:p>
        </w:tc>
        <w:tc>
          <w:tcPr>
            <w:tcMar>
              <w:top w:type="dxa" w:w="80"/>
              <w:left w:type="dxa" w:w="100"/>
              <w:bottom w:type="dxa" w:w="80"/>
              <w:right w:type="dxa" w:w="100"/>
            </w:tcMar>
          </w:tcPr>
          <w:p>
            <w:r>
              <w:rPr>
                <w:b w:val="false"/>
                <w:bCs w:val="false"/>
                <w:color w:val="222222"/>
                <w:sz w:val="19"/>
                <w:szCs w:val="19"/>
              </w:rPr>
              <w:t xml:space="preserve">Businesses and admins shall be able to generate reports (transaction statements, settlement reports, reconciliation reports) for a given date range, exportable in common formats (CSV/PDF).</w:t>
            </w:r>
          </w:p>
        </w:tc>
      </w:tr>
    </w:tbl>
    <w:p>
      <w:r>
        <w:br w:type="page"/>
      </w:r>
    </w:p>
    <w:p>
      <w:pPr>
        <w:pStyle w:val="Heading1"/>
        <w:spacing w:after="160" w:before="360"/>
      </w:pPr>
      <w:r>
        <w:rPr>
          <w:b/>
          <w:bCs/>
          <w:color w:val="1F3864"/>
          <w:sz w:val="30"/>
          <w:szCs w:val="30"/>
        </w:rPr>
        <w:t xml:space="preserve">4.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200"/>
      </w:tblGrid>
      <w:tr>
        <w:tc>
          <w:tcPr>
            <w:shd w:fill="1F3864" w:color="auto" w:val="clear"/>
            <w:tcMar>
              <w:top w:type="dxa" w:w="80"/>
              <w:left w:type="dxa" w:w="100"/>
              <w:bottom w:type="dxa" w:w="80"/>
              <w:right w:type="dxa" w:w="100"/>
            </w:tcMar>
          </w:tcPr>
          <w:p>
            <w:r>
              <w:rPr>
                <w:b/>
                <w:bCs/>
                <w:color w:val="FFFFFF"/>
                <w:sz w:val="19"/>
                <w:szCs w:val="19"/>
              </w:rPr>
              <w:t xml:space="preserve">ID</w:t>
            </w:r>
          </w:p>
        </w:tc>
        <w:tc>
          <w:tcPr>
            <w:shd w:fill="1F3864" w:color="auto" w:val="clear"/>
            <w:tcMar>
              <w:top w:type="dxa" w:w="80"/>
              <w:left w:type="dxa" w:w="100"/>
              <w:bottom w:type="dxa" w:w="80"/>
              <w:right w:type="dxa" w:w="100"/>
            </w:tcMar>
          </w:tcPr>
          <w:p>
            <w:r>
              <w:rPr>
                <w:b/>
                <w:bCs/>
                <w:color w:val="FFFFFF"/>
                <w:sz w:val="19"/>
                <w:szCs w:val="19"/>
              </w:rPr>
              <w:t xml:space="preserve">Category</w:t>
            </w:r>
          </w:p>
        </w:tc>
        <w:tc>
          <w:tcPr>
            <w:shd w:fill="1F3864" w:color="auto" w:val="clear"/>
            <w:tcMar>
              <w:top w:type="dxa" w:w="80"/>
              <w:left w:type="dxa" w:w="100"/>
              <w:bottom w:type="dxa" w:w="80"/>
              <w:right w:type="dxa" w:w="100"/>
            </w:tcMar>
          </w:tcPr>
          <w:p>
            <w:r>
              <w:rPr>
                <w:b/>
                <w:bCs/>
                <w:color w:val="FFFFFF"/>
                <w:sz w:val="19"/>
                <w:szCs w:val="19"/>
              </w:rPr>
              <w:t xml:space="preserve">Requirement</w:t>
            </w:r>
          </w:p>
        </w:tc>
      </w:tr>
      <w:tr>
        <w:tc>
          <w:tcPr>
            <w:tcMar>
              <w:top w:type="dxa" w:w="80"/>
              <w:left w:type="dxa" w:w="100"/>
              <w:bottom w:type="dxa" w:w="80"/>
              <w:right w:type="dxa" w:w="100"/>
            </w:tcMar>
          </w:tcPr>
          <w:p>
            <w:r>
              <w:rPr>
                <w:b w:val="false"/>
                <w:bCs w:val="false"/>
                <w:color w:val="222222"/>
                <w:sz w:val="19"/>
                <w:szCs w:val="19"/>
              </w:rPr>
              <w:t xml:space="preserve">NFR-1</w:t>
            </w:r>
          </w:p>
        </w:tc>
        <w:tc>
          <w:tcPr>
            <w:tcMar>
              <w:top w:type="dxa" w:w="80"/>
              <w:left w:type="dxa" w:w="100"/>
              <w:bottom w:type="dxa" w:w="80"/>
              <w:right w:type="dxa" w:w="100"/>
            </w:tcMar>
          </w:tcPr>
          <w:p>
            <w:r>
              <w:rPr>
                <w:b/>
                <w:bCs/>
                <w:color w:val="222222"/>
                <w:sz w:val="19"/>
                <w:szCs w:val="19"/>
              </w:rPr>
              <w:t xml:space="preserve">Reliability</w:t>
            </w:r>
          </w:p>
        </w:tc>
        <w:tc>
          <w:tcPr>
            <w:tcMar>
              <w:top w:type="dxa" w:w="80"/>
              <w:left w:type="dxa" w:w="100"/>
              <w:bottom w:type="dxa" w:w="80"/>
              <w:right w:type="dxa" w:w="100"/>
            </w:tcMar>
          </w:tcPr>
          <w:p>
            <w:r>
              <w:rPr>
                <w:b w:val="false"/>
                <w:bCs w:val="false"/>
                <w:color w:val="222222"/>
                <w:sz w:val="19"/>
                <w:szCs w:val="19"/>
              </w:rPr>
              <w:t xml:space="preserve">The application shall not crash under any load or input circumstance; all unhandled failure paths must degrade gracefully rather than terminate the process.</w:t>
            </w:r>
          </w:p>
        </w:tc>
      </w:tr>
      <w:tr>
        <w:tc>
          <w:tcPr>
            <w:tcMar>
              <w:top w:type="dxa" w:w="80"/>
              <w:left w:type="dxa" w:w="100"/>
              <w:bottom w:type="dxa" w:w="80"/>
              <w:right w:type="dxa" w:w="100"/>
            </w:tcMar>
          </w:tcPr>
          <w:p>
            <w:r>
              <w:rPr>
                <w:b w:val="false"/>
                <w:bCs w:val="false"/>
                <w:color w:val="222222"/>
                <w:sz w:val="19"/>
                <w:szCs w:val="19"/>
              </w:rPr>
              <w:t xml:space="preserve">NFR-2</w:t>
            </w:r>
          </w:p>
        </w:tc>
        <w:tc>
          <w:tcPr>
            <w:tcMar>
              <w:top w:type="dxa" w:w="80"/>
              <w:left w:type="dxa" w:w="100"/>
              <w:bottom w:type="dxa" w:w="80"/>
              <w:right w:type="dxa" w:w="100"/>
            </w:tcMar>
          </w:tcPr>
          <w:p>
            <w:r>
              <w:rPr>
                <w:b/>
                <w:bCs/>
                <w:color w:val="222222"/>
                <w:sz w:val="19"/>
                <w:szCs w:val="19"/>
              </w:rPr>
              <w:t xml:space="preserve">Network Resilience</w:t>
            </w:r>
          </w:p>
        </w:tc>
        <w:tc>
          <w:tcPr>
            <w:tcMar>
              <w:top w:type="dxa" w:w="80"/>
              <w:left w:type="dxa" w:w="100"/>
              <w:bottom w:type="dxa" w:w="80"/>
              <w:right w:type="dxa" w:w="100"/>
            </w:tcMar>
          </w:tcPr>
          <w:p>
            <w:r>
              <w:rPr>
                <w:b w:val="false"/>
                <w:bCs w:val="false"/>
                <w:color w:val="222222"/>
                <w:sz w:val="19"/>
                <w:szCs w:val="19"/>
              </w:rPr>
              <w:t xml:space="preserve">The system shall be resilient against bad network conditions. Critical user-facing components shall include an offline-to-online fallback strategy (e.g. local request queuing with sync-on-reconnect, optimistic UI states) so that sensitive flows can partially function despite poor or no connectivity.</w:t>
            </w:r>
          </w:p>
        </w:tc>
      </w:tr>
      <w:tr>
        <w:tc>
          <w:tcPr>
            <w:tcMar>
              <w:top w:type="dxa" w:w="80"/>
              <w:left w:type="dxa" w:w="100"/>
              <w:bottom w:type="dxa" w:w="80"/>
              <w:right w:type="dxa" w:w="100"/>
            </w:tcMar>
          </w:tcPr>
          <w:p>
            <w:r>
              <w:rPr>
                <w:b w:val="false"/>
                <w:bCs w:val="false"/>
                <w:color w:val="222222"/>
                <w:sz w:val="19"/>
                <w:szCs w:val="19"/>
              </w:rPr>
              <w:t xml:space="preserve">NFR-3</w:t>
            </w:r>
          </w:p>
        </w:tc>
        <w:tc>
          <w:tcPr>
            <w:tcMar>
              <w:top w:type="dxa" w:w="80"/>
              <w:left w:type="dxa" w:w="100"/>
              <w:bottom w:type="dxa" w:w="80"/>
              <w:right w:type="dxa" w:w="100"/>
            </w:tcMar>
          </w:tcPr>
          <w:p>
            <w:r>
              <w:rPr>
                <w:b/>
                <w:bCs/>
                <w:color w:val="222222"/>
                <w:sz w:val="19"/>
                <w:szCs w:val="19"/>
              </w:rPr>
              <w:t xml:space="preserve">Observability / Logging</w:t>
            </w:r>
          </w:p>
        </w:tc>
        <w:tc>
          <w:tcPr>
            <w:tcMar>
              <w:top w:type="dxa" w:w="80"/>
              <w:left w:type="dxa" w:w="100"/>
              <w:bottom w:type="dxa" w:w="80"/>
              <w:right w:type="dxa" w:w="100"/>
            </w:tcMar>
          </w:tcPr>
          <w:p>
            <w:r>
              <w:rPr>
                <w:b w:val="false"/>
                <w:bCs w:val="false"/>
                <w:color w:val="222222"/>
                <w:sz w:val="19"/>
                <w:szCs w:val="19"/>
              </w:rPr>
              <w:t xml:space="preserve">There shall be comprehensive, structured logging across the platform (see §7 of the companion Security &amp; Deployment Deep-Dive).</w:t>
            </w:r>
          </w:p>
        </w:tc>
      </w:tr>
      <w:tr>
        <w:tc>
          <w:tcPr>
            <w:tcMar>
              <w:top w:type="dxa" w:w="80"/>
              <w:left w:type="dxa" w:w="100"/>
              <w:bottom w:type="dxa" w:w="80"/>
              <w:right w:type="dxa" w:w="100"/>
            </w:tcMar>
          </w:tcPr>
          <w:p>
            <w:r>
              <w:rPr>
                <w:b w:val="false"/>
                <w:bCs w:val="false"/>
                <w:color w:val="222222"/>
                <w:sz w:val="19"/>
                <w:szCs w:val="19"/>
              </w:rPr>
              <w:t xml:space="preserve">NFR-4</w:t>
            </w:r>
          </w:p>
        </w:tc>
        <w:tc>
          <w:tcPr>
            <w:tcMar>
              <w:top w:type="dxa" w:w="80"/>
              <w:left w:type="dxa" w:w="100"/>
              <w:bottom w:type="dxa" w:w="80"/>
              <w:right w:type="dxa" w:w="100"/>
            </w:tcMar>
          </w:tcPr>
          <w:p>
            <w:r>
              <w:rPr>
                <w:b/>
                <w:bCs/>
                <w:color w:val="222222"/>
                <w:sz w:val="19"/>
                <w:szCs w:val="19"/>
              </w:rPr>
              <w:t xml:space="preserve">Environments</w:t>
            </w:r>
          </w:p>
        </w:tc>
        <w:tc>
          <w:tcPr>
            <w:tcMar>
              <w:top w:type="dxa" w:w="80"/>
              <w:left w:type="dxa" w:w="100"/>
              <w:bottom w:type="dxa" w:w="80"/>
              <w:right w:type="dxa" w:w="100"/>
            </w:tcMar>
          </w:tcPr>
          <w:p>
            <w:r>
              <w:rPr>
                <w:b w:val="false"/>
                <w:bCs w:val="false"/>
                <w:color w:val="222222"/>
                <w:sz w:val="19"/>
                <w:szCs w:val="19"/>
              </w:rPr>
              <w:t xml:space="preserve">There shall be a well-defined environment setup: isolated Development, Staging, and Production environments with independent configuration, credentials, and data.</w:t>
            </w:r>
          </w:p>
        </w:tc>
      </w:tr>
      <w:tr>
        <w:tc>
          <w:tcPr>
            <w:tcMar>
              <w:top w:type="dxa" w:w="80"/>
              <w:left w:type="dxa" w:w="100"/>
              <w:bottom w:type="dxa" w:w="80"/>
              <w:right w:type="dxa" w:w="100"/>
            </w:tcMar>
          </w:tcPr>
          <w:p>
            <w:r>
              <w:rPr>
                <w:b w:val="false"/>
                <w:bCs w:val="false"/>
                <w:color w:val="222222"/>
                <w:sz w:val="19"/>
                <w:szCs w:val="19"/>
              </w:rPr>
              <w:t xml:space="preserve">NFR-5</w:t>
            </w:r>
          </w:p>
        </w:tc>
        <w:tc>
          <w:tcPr>
            <w:tcMar>
              <w:top w:type="dxa" w:w="80"/>
              <w:left w:type="dxa" w:w="100"/>
              <w:bottom w:type="dxa" w:w="80"/>
              <w:right w:type="dxa" w:w="100"/>
            </w:tcMar>
          </w:tcPr>
          <w:p>
            <w:r>
              <w:rPr>
                <w:b/>
                <w:bCs/>
                <w:color w:val="222222"/>
                <w:sz w:val="19"/>
                <w:szCs w:val="19"/>
              </w:rPr>
              <w:t xml:space="preserve">CI/CD</w:t>
            </w:r>
          </w:p>
        </w:tc>
        <w:tc>
          <w:tcPr>
            <w:tcMar>
              <w:top w:type="dxa" w:w="80"/>
              <w:left w:type="dxa" w:w="100"/>
              <w:bottom w:type="dxa" w:w="80"/>
              <w:right w:type="dxa" w:w="100"/>
            </w:tcMar>
          </w:tcPr>
          <w:p>
            <w:r>
              <w:rPr>
                <w:b w:val="false"/>
                <w:bCs w:val="false"/>
                <w:color w:val="222222"/>
                <w:sz w:val="19"/>
                <w:szCs w:val="19"/>
              </w:rPr>
              <w:t xml:space="preserve">There shall be a clear, automated CI/CD pipeline in which key components of the system are testable in isolation (unit, integration, contract tests) before promotion.</w:t>
            </w:r>
          </w:p>
        </w:tc>
      </w:tr>
      <w:tr>
        <w:tc>
          <w:tcPr>
            <w:tcMar>
              <w:top w:type="dxa" w:w="80"/>
              <w:left w:type="dxa" w:w="100"/>
              <w:bottom w:type="dxa" w:w="80"/>
              <w:right w:type="dxa" w:w="100"/>
            </w:tcMar>
          </w:tcPr>
          <w:p>
            <w:r>
              <w:rPr>
                <w:b w:val="false"/>
                <w:bCs w:val="false"/>
                <w:color w:val="222222"/>
                <w:sz w:val="19"/>
                <w:szCs w:val="19"/>
              </w:rPr>
              <w:t xml:space="preserve">NFR-6</w:t>
            </w:r>
          </w:p>
        </w:tc>
        <w:tc>
          <w:tcPr>
            <w:tcMar>
              <w:top w:type="dxa" w:w="80"/>
              <w:left w:type="dxa" w:w="100"/>
              <w:bottom w:type="dxa" w:w="80"/>
              <w:right w:type="dxa" w:w="100"/>
            </w:tcMar>
          </w:tcPr>
          <w:p>
            <w:r>
              <w:rPr>
                <w:b/>
                <w:bCs/>
                <w:color w:val="222222"/>
                <w:sz w:val="19"/>
                <w:szCs w:val="19"/>
              </w:rPr>
              <w:t xml:space="preserve">Idempotency</w:t>
            </w:r>
          </w:p>
        </w:tc>
        <w:tc>
          <w:tcPr>
            <w:tcMar>
              <w:top w:type="dxa" w:w="80"/>
              <w:left w:type="dxa" w:w="100"/>
              <w:bottom w:type="dxa" w:w="80"/>
              <w:right w:type="dxa" w:w="100"/>
            </w:tcMar>
          </w:tcPr>
          <w:p>
            <w:r>
              <w:rPr>
                <w:b w:val="false"/>
                <w:bCs w:val="false"/>
                <w:color w:val="222222"/>
                <w:sz w:val="19"/>
                <w:szCs w:val="19"/>
              </w:rPr>
              <w:t xml:space="preserve">Idempotency on transactions shall be properly and consistently handled at the API and persistence layer (see companion deep-dive).</w:t>
            </w:r>
          </w:p>
        </w:tc>
      </w:tr>
      <w:tr>
        <w:tc>
          <w:tcPr>
            <w:tcMar>
              <w:top w:type="dxa" w:w="80"/>
              <w:left w:type="dxa" w:w="100"/>
              <w:bottom w:type="dxa" w:w="80"/>
              <w:right w:type="dxa" w:w="100"/>
            </w:tcMar>
          </w:tcPr>
          <w:p>
            <w:r>
              <w:rPr>
                <w:b w:val="false"/>
                <w:bCs w:val="false"/>
                <w:color w:val="222222"/>
                <w:sz w:val="19"/>
                <w:szCs w:val="19"/>
              </w:rPr>
              <w:t xml:space="preserve">NFR-7</w:t>
            </w:r>
          </w:p>
        </w:tc>
        <w:tc>
          <w:tcPr>
            <w:tcMar>
              <w:top w:type="dxa" w:w="80"/>
              <w:left w:type="dxa" w:w="100"/>
              <w:bottom w:type="dxa" w:w="80"/>
              <w:right w:type="dxa" w:w="100"/>
            </w:tcMar>
          </w:tcPr>
          <w:p>
            <w:r>
              <w:rPr>
                <w:b/>
                <w:bCs/>
                <w:color w:val="222222"/>
                <w:sz w:val="19"/>
                <w:szCs w:val="19"/>
              </w:rPr>
              <w:t xml:space="preserve">Security</w:t>
            </w:r>
          </w:p>
        </w:tc>
        <w:tc>
          <w:tcPr>
            <w:tcMar>
              <w:top w:type="dxa" w:w="80"/>
              <w:left w:type="dxa" w:w="100"/>
              <w:bottom w:type="dxa" w:w="80"/>
              <w:right w:type="dxa" w:w="100"/>
            </w:tcMar>
          </w:tcPr>
          <w:p>
            <w:r>
              <w:rPr>
                <w:b w:val="false"/>
                <w:bCs w:val="false"/>
                <w:color w:val="222222"/>
                <w:sz w:val="19"/>
                <w:szCs w:val="19"/>
              </w:rPr>
              <w:t xml:space="preserve">The platform shall be well secured via authentication, RBAC, SSL/TLS in transit, encryption at rest, and IP whitelisting for sensitive/administrative and partner-facing endpoints.</w:t>
            </w:r>
          </w:p>
        </w:tc>
      </w:tr>
      <w:tr>
        <w:tc>
          <w:tcPr>
            <w:tcMar>
              <w:top w:type="dxa" w:w="80"/>
              <w:left w:type="dxa" w:w="100"/>
              <w:bottom w:type="dxa" w:w="80"/>
              <w:right w:type="dxa" w:w="100"/>
            </w:tcMar>
          </w:tcPr>
          <w:p>
            <w:r>
              <w:rPr>
                <w:b w:val="false"/>
                <w:bCs w:val="false"/>
                <w:color w:val="222222"/>
                <w:sz w:val="19"/>
                <w:szCs w:val="19"/>
              </w:rPr>
              <w:t xml:space="preserve">NFR-8</w:t>
            </w:r>
          </w:p>
        </w:tc>
        <w:tc>
          <w:tcPr>
            <w:tcMar>
              <w:top w:type="dxa" w:w="80"/>
              <w:left w:type="dxa" w:w="100"/>
              <w:bottom w:type="dxa" w:w="80"/>
              <w:right w:type="dxa" w:w="100"/>
            </w:tcMar>
          </w:tcPr>
          <w:p>
            <w:r>
              <w:rPr>
                <w:b/>
                <w:bCs/>
                <w:color w:val="222222"/>
                <w:sz w:val="19"/>
                <w:szCs w:val="19"/>
              </w:rPr>
              <w:t xml:space="preserve">Notifications</w:t>
            </w:r>
          </w:p>
        </w:tc>
        <w:tc>
          <w:tcPr>
            <w:tcMar>
              <w:top w:type="dxa" w:w="80"/>
              <w:left w:type="dxa" w:w="100"/>
              <w:bottom w:type="dxa" w:w="80"/>
              <w:right w:type="dxa" w:w="100"/>
            </w:tcMar>
          </w:tcPr>
          <w:p>
            <w:r>
              <w:rPr>
                <w:b w:val="false"/>
                <w:bCs w:val="false"/>
                <w:color w:val="222222"/>
                <w:sz w:val="19"/>
                <w:szCs w:val="19"/>
              </w:rPr>
              <w:t xml:space="preserve">There shall be a proper notification system to alert users of key events — transactions, debits, and account/security updates.</w:t>
            </w:r>
          </w:p>
        </w:tc>
      </w:tr>
      <w:tr>
        <w:tc>
          <w:tcPr>
            <w:tcMar>
              <w:top w:type="dxa" w:w="80"/>
              <w:left w:type="dxa" w:w="100"/>
              <w:bottom w:type="dxa" w:w="80"/>
              <w:right w:type="dxa" w:w="100"/>
            </w:tcMar>
          </w:tcPr>
          <w:p>
            <w:r>
              <w:rPr>
                <w:b w:val="false"/>
                <w:bCs w:val="false"/>
                <w:color w:val="222222"/>
                <w:sz w:val="19"/>
                <w:szCs w:val="19"/>
              </w:rPr>
              <w:t xml:space="preserve">NFR-9</w:t>
            </w:r>
          </w:p>
        </w:tc>
        <w:tc>
          <w:tcPr>
            <w:tcMar>
              <w:top w:type="dxa" w:w="80"/>
              <w:left w:type="dxa" w:w="100"/>
              <w:bottom w:type="dxa" w:w="80"/>
              <w:right w:type="dxa" w:w="100"/>
            </w:tcMar>
          </w:tcPr>
          <w:p>
            <w:r>
              <w:rPr>
                <w:b/>
                <w:bCs/>
                <w:color w:val="222222"/>
                <w:sz w:val="19"/>
                <w:szCs w:val="19"/>
              </w:rPr>
              <w:t xml:space="preserve">Versioning</w:t>
            </w:r>
          </w:p>
        </w:tc>
        <w:tc>
          <w:tcPr>
            <w:tcMar>
              <w:top w:type="dxa" w:w="80"/>
              <w:left w:type="dxa" w:w="100"/>
              <w:bottom w:type="dxa" w:w="80"/>
              <w:right w:type="dxa" w:w="100"/>
            </w:tcMar>
          </w:tcPr>
          <w:p>
            <w:r>
              <w:rPr>
                <w:b w:val="false"/>
                <w:bCs w:val="false"/>
                <w:color w:val="222222"/>
                <w:sz w:val="19"/>
                <w:szCs w:val="19"/>
              </w:rPr>
              <w:t xml:space="preserve">There shall be a well-documented, well-defined API and release versioning system (see Contribution &amp; Naming Conventions document).</w:t>
            </w:r>
          </w:p>
        </w:tc>
      </w:tr>
      <w:tr>
        <w:tc>
          <w:tcPr>
            <w:tcMar>
              <w:top w:type="dxa" w:w="80"/>
              <w:left w:type="dxa" w:w="100"/>
              <w:bottom w:type="dxa" w:w="80"/>
              <w:right w:type="dxa" w:w="100"/>
            </w:tcMar>
          </w:tcPr>
          <w:p>
            <w:r>
              <w:rPr>
                <w:b w:val="false"/>
                <w:bCs w:val="false"/>
                <w:color w:val="222222"/>
                <w:sz w:val="19"/>
                <w:szCs w:val="19"/>
              </w:rPr>
              <w:t xml:space="preserve">NFR-10</w:t>
            </w:r>
          </w:p>
        </w:tc>
        <w:tc>
          <w:tcPr>
            <w:tcMar>
              <w:top w:type="dxa" w:w="80"/>
              <w:left w:type="dxa" w:w="100"/>
              <w:bottom w:type="dxa" w:w="80"/>
              <w:right w:type="dxa" w:w="100"/>
            </w:tcMar>
          </w:tcPr>
          <w:p>
            <w:r>
              <w:rPr>
                <w:b/>
                <w:bCs/>
                <w:color w:val="222222"/>
                <w:sz w:val="19"/>
                <w:szCs w:val="19"/>
              </w:rPr>
              <w:t xml:space="preserve">Scale &amp; Performance</w:t>
            </w:r>
          </w:p>
        </w:tc>
        <w:tc>
          <w:tcPr>
            <w:tcMar>
              <w:top w:type="dxa" w:w="80"/>
              <w:left w:type="dxa" w:w="100"/>
              <w:bottom w:type="dxa" w:w="80"/>
              <w:right w:type="dxa" w:w="100"/>
            </w:tcMar>
          </w:tcPr>
          <w:p>
            <w:r>
              <w:rPr>
                <w:b w:val="false"/>
                <w:bCs w:val="false"/>
                <w:color w:val="222222"/>
                <w:sz w:val="19"/>
                <w:szCs w:val="19"/>
              </w:rPr>
              <w:t xml:space="preserve">The system shall be able to withstand heavy load and comfortably process on the order of ₦1 billion in transaction value per day, sustaining roughly 1,000 requests per second at peak (see Assumption note below) with acceptable p95 latency.</w:t>
            </w:r>
          </w:p>
        </w:tc>
      </w:tr>
    </w:tbl>
    <w:p>
      <w:pPr>
        <w:spacing w:after="120"/>
      </w:pPr>
    </w:p>
    <w:p>
      <w:pPr>
        <w:spacing w:after="160" w:line="276"/>
      </w:pPr>
      <w:r>
        <w:rPr>
          <w:i/>
          <w:iCs/>
          <w:color w:val="993300"/>
          <w:sz w:val="21"/>
          <w:szCs w:val="21"/>
        </w:rPr>
        <w:t xml:space="preserve">Assumption note (NFR-10): the source specification states "1000 requests per millisecond," which is not realistic for a payments platform of this scale and is assumed to be a slip for 1000 requests per second (a very healthy peak-throughput target for a national-scale collection platform). This should be confirmed with the product owner and updated once confirmed.</w:t>
      </w:r>
    </w:p>
    <w:p>
      <w:r>
        <w:br w:type="page"/>
      </w:r>
    </w:p>
    <w:p>
      <w:pPr>
        <w:pStyle w:val="Heading1"/>
        <w:spacing w:after="160" w:before="360"/>
      </w:pPr>
      <w:r>
        <w:rPr>
          <w:b/>
          <w:bCs/>
          <w:color w:val="1F3864"/>
          <w:sz w:val="30"/>
          <w:szCs w:val="30"/>
        </w:rPr>
        <w:t xml:space="preserve">5. Assumptions &amp; Constraints</w:t>
      </w:r>
    </w:p>
    <w:p>
      <w:pPr>
        <w:pStyle w:val="ListParagraph"/>
        <w:numPr>
          <w:ilvl w:val="0"/>
          <w:numId w:val="1"/>
        </w:numPr>
        <w:spacing w:after="80" w:line="270"/>
      </w:pPr>
      <w:r>
        <w:rPr>
          <w:sz w:val="21"/>
          <w:szCs w:val="21"/>
        </w:rPr>
        <w:t xml:space="preserve">Settlement to external bank accounts (NIBSS NIP) is executed through a partner commercial or microfinance bank; Nawill Pay does not hold a direct CBN settlement license at MVP stage.</w:t>
      </w:r>
    </w:p>
    <w:p>
      <w:pPr>
        <w:pStyle w:val="ListParagraph"/>
        <w:numPr>
          <w:ilvl w:val="0"/>
          <w:numId w:val="1"/>
        </w:numPr>
        <w:spacing w:after="80" w:line="270"/>
      </w:pPr>
      <w:r>
        <w:rPr>
          <w:sz w:val="21"/>
          <w:szCs w:val="21"/>
        </w:rPr>
        <w:t xml:space="preserve">The MVP targets the Nigerian market only; the data model (countries, states, local government hierarchy, currency) is intentionally generalized so Ghana, Kenya, Francophone West Africa (XOF) and other Sub-Saharan markets can be added later.</w:t>
      </w:r>
    </w:p>
    <w:p>
      <w:pPr>
        <w:pStyle w:val="ListParagraph"/>
        <w:numPr>
          <w:ilvl w:val="0"/>
          <w:numId w:val="1"/>
        </w:numPr>
        <w:spacing w:after="80" w:line="270"/>
      </w:pPr>
      <w:r>
        <w:rPr>
          <w:sz w:val="21"/>
          <w:szCs w:val="21"/>
        </w:rPr>
        <w:t xml:space="preserve">Nigeria's administrative hierarchy is modelled at three levels: Level 1 — State, Level 2 — Local Government Area (LGA), Level 3 — Ward, to support address capture and future geo-tiered reporting.</w:t>
      </w:r>
    </w:p>
    <w:p>
      <w:pPr>
        <w:pStyle w:val="ListParagraph"/>
        <w:numPr>
          <w:ilvl w:val="0"/>
          <w:numId w:val="1"/>
        </w:numPr>
        <w:spacing w:after="80" w:line="270"/>
      </w:pPr>
      <w:r>
        <w:rPr>
          <w:sz w:val="21"/>
          <w:szCs w:val="21"/>
        </w:rPr>
        <w:t xml:space="preserve">KYC integrations (BVN/NIN verification, CAC lookup) are assumed to be via third-party identity verification providers operating in Nigeria.</w:t>
      </w:r>
    </w:p>
    <w:p>
      <w:pPr>
        <w:pStyle w:val="ListParagraph"/>
        <w:numPr>
          <w:ilvl w:val="0"/>
          <w:numId w:val="1"/>
        </w:numPr>
        <w:spacing w:after="80" w:line="270"/>
      </w:pPr>
      <w:r>
        <w:rPr>
          <w:sz w:val="21"/>
          <w:szCs w:val="21"/>
        </w:rPr>
        <w:t xml:space="preserve">All monetary values are stored in the lowest currency unit (kobo) as integers to avoid floating-point rounding errors.</w:t>
      </w:r>
    </w:p>
    <w:p>
      <w:pPr>
        <w:pStyle w:val="ListParagraph"/>
        <w:numPr>
          <w:ilvl w:val="0"/>
          <w:numId w:val="1"/>
        </w:numPr>
        <w:spacing w:after="80" w:line="270"/>
      </w:pPr>
      <w:r>
        <w:rPr>
          <w:sz w:val="21"/>
          <w:szCs w:val="21"/>
        </w:rPr>
        <w:t xml:space="preserve">All database entities carry a default status of Active/Inactive, and soft-delete (deletedAt) rather than hard-delete, to preserve audit trail integrity.</w:t>
      </w:r>
    </w:p>
    <w:p>
      <w:r>
        <w:br w:type="page"/>
      </w:r>
    </w:p>
    <w:p>
      <w:pPr>
        <w:pStyle w:val="Heading1"/>
        <w:spacing w:after="160" w:before="360"/>
      </w:pPr>
      <w:r>
        <w:rPr>
          <w:b/>
          <w:bCs/>
          <w:color w:val="1F3864"/>
          <w:sz w:val="30"/>
          <w:szCs w:val="30"/>
        </w:rPr>
        <w:t xml:space="preserve">6. MVP Scope &amp; Versioning Approach</w:t>
      </w:r>
    </w:p>
    <w:p>
      <w:pPr>
        <w:spacing w:after="160" w:line="276"/>
      </w:pPr>
      <w:r>
        <w:rPr>
          <w:sz w:val="21"/>
          <w:szCs w:val="21"/>
        </w:rPr>
        <w:t xml:space="preserve">Per direction to "design for MVP and show the different versions," requirements are tagged by target release below. This lets engineering sequence delivery while keeping the full target architecture visible.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700"/>
      </w:tblGrid>
      <w:tr>
        <w:tc>
          <w:tcPr>
            <w:shd w:fill="1F3864" w:color="auto" w:val="clear"/>
            <w:tcMar>
              <w:top w:type="dxa" w:w="80"/>
              <w:left w:type="dxa" w:w="100"/>
              <w:bottom w:type="dxa" w:w="80"/>
              <w:right w:type="dxa" w:w="100"/>
            </w:tcMar>
          </w:tcPr>
          <w:p>
            <w:r>
              <w:rPr>
                <w:b/>
                <w:bCs/>
                <w:color w:val="FFFFFF"/>
                <w:sz w:val="19"/>
                <w:szCs w:val="19"/>
              </w:rPr>
              <w:t xml:space="preserve">Release</w:t>
            </w:r>
          </w:p>
        </w:tc>
        <w:tc>
          <w:tcPr>
            <w:shd w:fill="1F3864" w:color="auto" w:val="clear"/>
            <w:tcMar>
              <w:top w:type="dxa" w:w="80"/>
              <w:left w:type="dxa" w:w="100"/>
              <w:bottom w:type="dxa" w:w="80"/>
              <w:right w:type="dxa" w:w="100"/>
            </w:tcMar>
          </w:tcPr>
          <w:p>
            <w:r>
              <w:rPr>
                <w:b/>
                <w:bCs/>
                <w:color w:val="FFFFFF"/>
                <w:sz w:val="19"/>
                <w:szCs w:val="19"/>
              </w:rPr>
              <w:t xml:space="preserve">Theme</w:t>
            </w:r>
          </w:p>
        </w:tc>
        <w:tc>
          <w:tcPr>
            <w:shd w:fill="1F3864" w:color="auto" w:val="clear"/>
            <w:tcMar>
              <w:top w:type="dxa" w:w="80"/>
              <w:left w:type="dxa" w:w="100"/>
              <w:bottom w:type="dxa" w:w="80"/>
              <w:right w:type="dxa" w:w="100"/>
            </w:tcMar>
          </w:tcPr>
          <w:p>
            <w:r>
              <w:rPr>
                <w:b/>
                <w:bCs/>
                <w:color w:val="FFFFFF"/>
                <w:sz w:val="19"/>
                <w:szCs w:val="19"/>
              </w:rPr>
              <w:t xml:space="preserve">Representative Requirements</w:t>
            </w:r>
          </w:p>
        </w:tc>
      </w:tr>
      <w:tr>
        <w:tc>
          <w:tcPr>
            <w:tcMar>
              <w:top w:type="dxa" w:w="80"/>
              <w:left w:type="dxa" w:w="100"/>
              <w:bottom w:type="dxa" w:w="80"/>
              <w:right w:type="dxa" w:w="100"/>
            </w:tcMar>
          </w:tcPr>
          <w:p>
            <w:r>
              <w:rPr>
                <w:b w:val="false"/>
                <w:bCs w:val="false"/>
                <w:color w:val="222222"/>
                <w:sz w:val="19"/>
                <w:szCs w:val="19"/>
              </w:rPr>
              <w:t xml:space="preserve">v0.1 — MVP</w:t>
            </w:r>
          </w:p>
        </w:tc>
        <w:tc>
          <w:tcPr>
            <w:tcMar>
              <w:top w:type="dxa" w:w="80"/>
              <w:left w:type="dxa" w:w="100"/>
              <w:bottom w:type="dxa" w:w="80"/>
              <w:right w:type="dxa" w:w="100"/>
            </w:tcMar>
          </w:tcPr>
          <w:p>
            <w:r>
              <w:rPr>
                <w:b w:val="false"/>
                <w:bCs w:val="false"/>
                <w:color w:val="222222"/>
                <w:sz w:val="19"/>
                <w:szCs w:val="19"/>
              </w:rPr>
              <w:t xml:space="preserve">Core collection loop</w:t>
            </w:r>
          </w:p>
        </w:tc>
        <w:tc>
          <w:tcPr>
            <w:tcMar>
              <w:top w:type="dxa" w:w="80"/>
              <w:left w:type="dxa" w:w="100"/>
              <w:bottom w:type="dxa" w:w="80"/>
              <w:right w:type="dxa" w:w="100"/>
            </w:tcMar>
          </w:tcPr>
          <w:p>
            <w:r>
              <w:rPr>
                <w:b w:val="false"/>
                <w:bCs w:val="false"/>
                <w:color w:val="222222"/>
                <w:sz w:val="19"/>
                <w:szCs w:val="19"/>
              </w:rPr>
              <w:t xml:space="preserve">FR-1, FR-8, FR-9, FR-10, FR-11, FR-12, FR-13, FR-3, FR-4, FR-5, NFR-1 to NFR-7, NFR-9</w:t>
            </w:r>
          </w:p>
        </w:tc>
      </w:tr>
      <w:tr>
        <w:tc>
          <w:tcPr>
            <w:tcMar>
              <w:top w:type="dxa" w:w="80"/>
              <w:left w:type="dxa" w:w="100"/>
              <w:bottom w:type="dxa" w:w="80"/>
              <w:right w:type="dxa" w:w="100"/>
            </w:tcMar>
          </w:tcPr>
          <w:p>
            <w:r>
              <w:rPr>
                <w:b w:val="false"/>
                <w:bCs w:val="false"/>
                <w:color w:val="222222"/>
                <w:sz w:val="19"/>
                <w:szCs w:val="19"/>
              </w:rPr>
              <w:t xml:space="preserve">v0.2</w:t>
            </w:r>
          </w:p>
        </w:tc>
        <w:tc>
          <w:tcPr>
            <w:tcMar>
              <w:top w:type="dxa" w:w="80"/>
              <w:left w:type="dxa" w:w="100"/>
              <w:bottom w:type="dxa" w:w="80"/>
              <w:right w:type="dxa" w:w="100"/>
            </w:tcMar>
          </w:tcPr>
          <w:p>
            <w:r>
              <w:rPr>
                <w:b w:val="false"/>
                <w:bCs w:val="false"/>
                <w:color w:val="222222"/>
                <w:sz w:val="19"/>
                <w:szCs w:val="19"/>
              </w:rPr>
              <w:t xml:space="preserve">Splits, links &amp; partners</w:t>
            </w:r>
          </w:p>
        </w:tc>
        <w:tc>
          <w:tcPr>
            <w:tcMar>
              <w:top w:type="dxa" w:w="80"/>
              <w:left w:type="dxa" w:w="100"/>
              <w:bottom w:type="dxa" w:w="80"/>
              <w:right w:type="dxa" w:w="100"/>
            </w:tcMar>
          </w:tcPr>
          <w:p>
            <w:r>
              <w:rPr>
                <w:b w:val="false"/>
                <w:bCs w:val="false"/>
                <w:color w:val="222222"/>
                <w:sz w:val="19"/>
                <w:szCs w:val="19"/>
              </w:rPr>
              <w:t xml:space="preserve">FR-2, FR-14, FR-6, FR-7, FR-Recon-1, FR-Recon-2, FR-5a</w:t>
            </w:r>
          </w:p>
        </w:tc>
      </w:tr>
      <w:tr>
        <w:tc>
          <w:tcPr>
            <w:tcMar>
              <w:top w:type="dxa" w:w="80"/>
              <w:left w:type="dxa" w:w="100"/>
              <w:bottom w:type="dxa" w:w="80"/>
              <w:right w:type="dxa" w:w="100"/>
            </w:tcMar>
          </w:tcPr>
          <w:p>
            <w:r>
              <w:rPr>
                <w:b w:val="false"/>
                <w:bCs w:val="false"/>
                <w:color w:val="222222"/>
                <w:sz w:val="19"/>
                <w:szCs w:val="19"/>
              </w:rPr>
              <w:t xml:space="preserve">v0.3</w:t>
            </w:r>
          </w:p>
        </w:tc>
        <w:tc>
          <w:tcPr>
            <w:tcMar>
              <w:top w:type="dxa" w:w="80"/>
              <w:left w:type="dxa" w:w="100"/>
              <w:bottom w:type="dxa" w:w="80"/>
              <w:right w:type="dxa" w:w="100"/>
            </w:tcMar>
          </w:tcPr>
          <w:p>
            <w:r>
              <w:rPr>
                <w:b w:val="false"/>
                <w:bCs w:val="false"/>
                <w:color w:val="222222"/>
                <w:sz w:val="19"/>
                <w:szCs w:val="19"/>
              </w:rPr>
              <w:t xml:space="preserve">Scale &amp; resilience hardening</w:t>
            </w:r>
          </w:p>
        </w:tc>
        <w:tc>
          <w:tcPr>
            <w:tcMar>
              <w:top w:type="dxa" w:w="80"/>
              <w:left w:type="dxa" w:w="100"/>
              <w:bottom w:type="dxa" w:w="80"/>
              <w:right w:type="dxa" w:w="100"/>
            </w:tcMar>
          </w:tcPr>
          <w:p>
            <w:r>
              <w:rPr>
                <w:b w:val="false"/>
                <w:bCs w:val="false"/>
                <w:color w:val="222222"/>
                <w:sz w:val="19"/>
                <w:szCs w:val="19"/>
              </w:rPr>
              <w:t xml:space="preserve">NFR-2 (offline fallback), NFR-10 (load), FR-Notif-1, FR-Report-1</w:t>
            </w:r>
          </w:p>
        </w:tc>
      </w:tr>
      <w:tr>
        <w:tc>
          <w:tcPr>
            <w:tcMar>
              <w:top w:type="dxa" w:w="80"/>
              <w:left w:type="dxa" w:w="100"/>
              <w:bottom w:type="dxa" w:w="80"/>
              <w:right w:type="dxa" w:w="100"/>
            </w:tcMar>
          </w:tcPr>
          <w:p>
            <w:r>
              <w:rPr>
                <w:b w:val="false"/>
                <w:bCs w:val="false"/>
                <w:color w:val="222222"/>
                <w:sz w:val="19"/>
                <w:szCs w:val="19"/>
              </w:rPr>
              <w:t xml:space="preserve">v1.0</w:t>
            </w:r>
          </w:p>
        </w:tc>
        <w:tc>
          <w:tcPr>
            <w:tcMar>
              <w:top w:type="dxa" w:w="80"/>
              <w:left w:type="dxa" w:w="100"/>
              <w:bottom w:type="dxa" w:w="80"/>
              <w:right w:type="dxa" w:w="100"/>
            </w:tcMar>
          </w:tcPr>
          <w:p>
            <w:r>
              <w:rPr>
                <w:b w:val="false"/>
                <w:bCs w:val="false"/>
                <w:color w:val="222222"/>
                <w:sz w:val="19"/>
                <w:szCs w:val="19"/>
              </w:rPr>
              <w:t xml:space="preserve">Multi-currency / Pan-African</w:t>
            </w:r>
          </w:p>
        </w:tc>
        <w:tc>
          <w:tcPr>
            <w:tcMar>
              <w:top w:type="dxa" w:w="80"/>
              <w:left w:type="dxa" w:w="100"/>
              <w:bottom w:type="dxa" w:w="80"/>
              <w:right w:type="dxa" w:w="100"/>
            </w:tcMar>
          </w:tcPr>
          <w:p>
            <w:r>
              <w:rPr>
                <w:b w:val="false"/>
                <w:bCs w:val="false"/>
                <w:color w:val="222222"/>
                <w:sz w:val="19"/>
                <w:szCs w:val="19"/>
              </w:rPr>
              <w:t xml:space="preserve">Additional currencies, FX handling, country/state expansion beyond Nigeria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Nawill Technology Ltd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Nawill Pay —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2026-08-05T01:43:46.930Z</dcterms:created>
  <dcterms:modified xsi:type="dcterms:W3CDTF">2026-08-05T01:43:46.951Z</dcterms:modified>
</cp:coreProperties>
</file>

<file path=docProps/custom.xml><?xml version="1.0" encoding="utf-8"?>
<Properties xmlns="http://schemas.openxmlformats.org/officeDocument/2006/custom-properties" xmlns:vt="http://schemas.openxmlformats.org/officeDocument/2006/docPropsVTypes"/>
</file>