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7C7B"/>
          <w:sz w:val="30"/>
          <w:szCs w:val="30"/>
        </w:rPr>
        <w:t xml:space="preserve">NAWILL PAY</w:t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Technical Architecture &amp; Database Schema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Java / Spring Boot API Platform — Schema Design, ERD &amp; Module Breakdown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Version 0.1 (MVP Draft)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Prepared by: Nawill Technology Ltd — Engineering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Technology Stack</w:t>
      </w:r>
    </w:p>
    <w:p>
      <w:pPr>
        <w:spacing w:after="160" w:line="276"/>
      </w:pPr>
      <w:r>
        <w:rPr>
          <w:sz w:val="21"/>
          <w:szCs w:val="21"/>
        </w:rPr>
        <w:t xml:space="preserve">This document covers the API layer only (backend services). Client applications (web/mobile) are out of scope here.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 &amp; Rationale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Language / Runtime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17 (LTS) — required baseline per spec; enables records, pattern matching, and virtual-thread readiness for future migration to Java 21.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 Boot 3.x, built on Spring Framework 6 (Jakarta EE namespace).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 Security 6 — authentication, method-level and endpoint-level RBAC, OAuth2 Resource Server for JWT validation.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15+ as system of record. Spring Data JPA / Hibernate for ORM, with hand-tuned native queries for reporting/aggregation paths.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Redis — session/token caching, idempotency-key locks, rate-limiting counters, hot-read caches (fee tiers, processor config, FX rates).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Messaging / Async 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Apache Kafka (recommended) for transaction events, webhook delivery, and audit-log streaming — see §2 for the Kafka vs. RabbitMQ comparison.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Documentation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springdoc-openapi — Swagger/OpenAPI docs auto-generated from controller annotations; no hand-maintained spec files.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Tool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Maven (multi-module) — one module per bounded context, see §3.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Containerization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images per service/module; orchestrated via Kubernetes in staging/production.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1.1 Architectural Style</w:t>
      </w:r>
    </w:p>
    <w:p>
      <w:pPr>
        <w:spacing w:after="160" w:line="276"/>
      </w:pPr>
      <w:r>
        <w:rPr>
          <w:sz w:val="21"/>
          <w:szCs w:val="21"/>
        </w:rPr>
        <w:t xml:space="preserve">The platform is built as a well-structured modular monolith rather than microservices at MVP stage. Each business capability is isolated into its own Maven module/package with a clear public API (interfaces/DTOs) and no cross-module reach into another module's internal repositories or entities. This keeps operational overhead low for a small team while preserving clean seams that allow individual modules (e.g. Payments) to be extracted into standalone services later, once load or team size justifies it.</w:t>
      </w:r>
    </w:p>
    <w:p>
      <w:pPr>
        <w:spacing w:after="160" w:line="276"/>
      </w:pPr>
      <w:r>
        <w:rPr>
          <w:sz w:val="21"/>
          <w:szCs w:val="21"/>
        </w:rPr>
        <w:t xml:space="preserve">Design adheres to SOLID and DRY principles throughout: single-responsibility services, dependency-inverted integrations (payment processors implemented behind a common interface), and shared cross-cutting concerns (logging, idempotency, exception handling) centralized in a common/core module rather than duplicated.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1.2 Kafka vs. RabbitMQ — Recommendation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50"/>
        <w:gridCol w:w="335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Consideration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Kafka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RabbitMQ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fit for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High-throughput event streams, durable replay, audit/event-sourcing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 queues, RPC-style jobs, complex routing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Throughput at scale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Very high; built for the ₦1bn/day, ~1,000 req/s target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Good, but generally lower ceiling than Kafka at this volume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Message replay / audit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(log retention) — valuable for reconciliation and dispute resolution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native; requires additional tooling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Operational complexity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Higher (ZooKeeper/KRaft, partitions, consumer groups)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Lower; simpler to operate for a small team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semantics needed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At-least-once with idempotent consumers — matches our idempotency-key design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At-least-once achievable, less natural for replay-based reconciliation</w:t>
            </w:r>
          </w:p>
        </w:tc>
      </w:tr>
    </w:tbl>
    <w:p>
      <w:pPr>
        <w:spacing w:after="160" w:line="276"/>
      </w:pPr>
      <w:r>
        <w:rPr>
          <w:i/>
          <w:iCs/>
          <w:sz w:val="21"/>
          <w:szCs w:val="21"/>
        </w:rPr>
        <w:t xml:space="preserve">Recommendation: use Kafka for the core transaction-event backbone (payment.received, payment.settled, webhook.inbound, webhook.outbound, reconciliation.mismatch) because replay-ability directly supports reconciliation and dispute investigation, and its throughput ceiling comfortably covers the stated NFR-10 target. Use a lighter-weight mechanism — Spring's own @Async / a scheduled-task table, or RabbitMQ if a second broker is truly warranted — for low-volume, latency-insensitive background jobs (e.g. sending a single onboarding email). Avoid running two brokers unless a concrete requirement (e.g. RPC-style synchronous job response) emerges; Kafka alone is sufficient for MVP and keeps operational surface area smaller.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Module Breakdown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2.1 Onboarding, Authentication &amp; RBAC Module</w:t>
      </w:r>
    </w:p>
    <w:p>
      <w:pPr>
        <w:spacing w:after="160" w:line="276"/>
      </w:pPr>
      <w:r>
        <w:rPr>
          <w:sz w:val="21"/>
          <w:szCs w:val="21"/>
        </w:rPr>
        <w:t xml:space="preserve">Covers all aspects of onboarding and authentication for every user type — individual USER, ADMIN, SUPERADMIN, PSSP/partner, and organizations/businesses. Responsibilities: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Signup / login (individual and business), password &amp; credential management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2FA enrolment and verification (configurable per account)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KYC/KYB orchestration (BVN/NIN, CAC lookups) and tiered-KYC upgrade triggers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Role &amp; permission management (RBAC): role CRUD, permission CRUD, role-assignment, scoped-to-business role creation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API key / secret key issuance and rotation for PSSP/partner accounts, webhook URL registration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JWT issuance/validation, session and refresh-token handling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2.2 Payments Module</w:t>
      </w:r>
    </w:p>
    <w:p>
      <w:pPr>
        <w:spacing w:after="160" w:line="276"/>
      </w:pPr>
      <w:r>
        <w:rPr>
          <w:sz w:val="21"/>
          <w:szCs w:val="21"/>
        </w:rPr>
        <w:t xml:space="preserve">Handles all transaction inflows and outflows. Responsibilities: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Virtual account provisioning and balance/ledger management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Payment processor configuration and setup (Paystack, Interswitch, Flutterwave, etc.) — restricted to Supply Admin role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Transaction initiation, fee calculation (configurable tiers), idempotency enforcement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Settlement/split-payment engine — percentage-based distribution to settlement accounts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Payment link generation (permanent and temporary/expiring)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Webhook handling — inbound (from processors) and outbound (to partners), plus manual requery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Reconciliation job (scheduled every 6 hours) against processor and NIBSS records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2.3 Supporting Modules (recommended additions to standard practice)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Notification Module — templated email/SMS/push dispatch for transactional and security events, decoupled via the Kafka event backbone.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Reporting &amp; Analytics Module — read-optimized query layer (materialized views or a reporting replica) backing the admin portal's analytics and exportable statements.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Audit &amp; Activity Log Module — central write path for UserChangeLog/activity logs, request-id correlation, and structured audit trails (see companion Security &amp; Deployment Deep-Dive).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Reference-Data Module — countries, states/LGAs/wards, banks, currencies — shared, cached, rarely-written lookup data consumed by other modules.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High-Level Architecture</w:t>
      </w:r>
    </w:p>
    <w:p>
      <w:pPr>
        <w:spacing w:after="160" w:line="276"/>
      </w:pPr>
      <w:r>
        <w:rPr>
          <w:sz w:val="21"/>
          <w:szCs w:val="21"/>
        </w:rPr>
        <w:t xml:space="preserve">Represented as a layered flow rather than a graphic, for portability across viewers: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Client Apps (Web / Mobile / Partner Integrations)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↓ HTTPS / TLS 1.2+</w:t>
            </w:r>
          </w:p>
        </w:tc>
      </w:tr>
      <w:tr>
        <w:tc>
          <w:tcPr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 Gateway — TLS termination, IP whitelisting, rate limiting, request-id injection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↓</w:t>
            </w:r>
          </w:p>
        </w:tc>
      </w:tr>
      <w:tr>
        <w:tc>
          <w:tcPr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Spring Boot Modular Monolith
— Onboarding/Auth/RBAC · Payments · Notifications · Reporting · Audit · Reference-Data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↓                                            ↓                                   ↓</w:t>
            </w:r>
          </w:p>
        </w:tc>
      </w:tr>
      <w:tr>
        <w:tc>
          <w:tcPr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PostgreSQL (system of record)      Redis (cache, idempotency locks, rate limits)      Kafka (transaction &amp; webhook events)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↓</w:t>
            </w:r>
          </w:p>
        </w:tc>
      </w:tr>
      <w:tr>
        <w:tc>
          <w:tcPr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External Integrations — Payment Processors (Paystack/Interswitch/etc.) · NIBSS (via partner bank) · Commercial/Microfinance Settlement Bank · SMS/Email Providers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Database Schema Design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4.1 Schema Design Contract</w:t>
      </w:r>
    </w:p>
    <w:p>
      <w:pPr>
        <w:spacing w:after="160" w:line="276"/>
      </w:pPr>
      <w:r>
        <w:rPr>
          <w:sz w:val="21"/>
          <w:szCs w:val="21"/>
        </w:rPr>
        <w:t xml:space="preserve">Every schema/entity in the system inherits from a common abstract base (e.g. an AbstractAuditableEntity in JPA, or a shared BaseEntity interface) that establishes what fields and behaviours are guaranteed across the platform. This is the "schema contract" referenced in the design notes — it defines what every table can, and cannot, expose at the schema level.</w:t>
      </w:r>
    </w:p>
    <w:p>
      <w:pPr>
        <w:spacing w:after="160" w:line="276"/>
      </w:pPr>
      <w:r>
        <w:rPr>
          <w:sz w:val="21"/>
          <w:szCs w:val="21"/>
        </w:rPr>
        <w:t xml:space="preserve">Standard base fields inherited by every entity, unless explicitly noted: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key, never a sequential integer, to avoid enumeration and to support future multi-region sharding.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Enum: ACTIVE / INACTIVE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table has a default status of Active or Inactive (soft state toggle, distinct from soft-delete).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Auto-set on insert (DB default now()).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Auto-updated on every modification.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References the acting user, or null/self for system- or self-generated records.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 (nullable)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Soft-delete marker; records are never hard-deleted.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4.2 Core Entities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Users</w:t>
      </w:r>
    </w:p>
    <w:p>
      <w:pPr>
        <w:spacing w:after="160" w:line="276"/>
      </w:pPr>
      <w:r>
        <w:rPr>
          <w:sz w:val="21"/>
          <w:szCs w:val="21"/>
        </w:rPr>
        <w:t xml:space="preserve">Central identity table for all user types.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middleName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lastName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Unique,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Unique,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isVerified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 once KYC + email/phone verification complete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/ ADMIN / SUPERADMIN / PSSP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addressId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Address)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Business)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— null for pure individuals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Users, self-referencing)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— self if self-registered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status, createdAt, updatedAt, deletedAt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Inherited base fields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Business</w:t>
      </w:r>
    </w:p>
    <w:p>
      <w:pPr>
        <w:spacing w:after="160" w:line="276"/>
      </w:pPr>
      <w:r>
        <w:rPr>
          <w:sz w:val="21"/>
          <w:szCs w:val="21"/>
        </w:rPr>
        <w:t xml:space="preserve">Registered business entities that can own users, roles, and virtual accounts.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 / registeredName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cacNumber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Nigeria business registration number; optional pre-KYB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addressId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Address)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primary account owner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status, createdAt, updatedAt, deletedAt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Inherited base fields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Roles / Permissions</w:t>
      </w:r>
    </w:p>
    <w:p>
      <w:pPr>
        <w:spacing w:after="160" w:line="276"/>
      </w:pPr>
      <w:r>
        <w:rPr>
          <w:sz w:val="21"/>
          <w:szCs w:val="21"/>
        </w:rPr>
        <w:t xml:space="preserve">RBAC model. A Role is a named, business-scoped or platform-scoped bundle of Permissions.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Role.id / name / businessId (nullable for platform roles)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businessId null ⇒ platform-level role (e.g. SUPERADMIN)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Permission.id / name / resource /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Fine-grained, e.g. resource=transactions, action=read|write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RolePermission (join)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Many-to-many between Role and Permission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UserRole (join)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Many-to-many between Users and Role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Countries</w:t>
      </w:r>
    </w:p>
    <w:p>
      <w:pPr>
        <w:spacing w:after="160" w:line="276"/>
      </w:pPr>
      <w:r>
        <w:rPr>
          <w:sz w:val="21"/>
          <w:szCs w:val="21"/>
        </w:rPr>
        <w:t xml:space="preserve">Reference data for multi-country expansion.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 / iso3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ISO country codes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(URL)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(ISO 4217)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currency for the country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States / AdminDivisions</w:t>
      </w:r>
    </w:p>
    <w:p>
      <w:pPr>
        <w:spacing w:after="160" w:line="276"/>
      </w:pPr>
      <w:r>
        <w:rPr>
          <w:sz w:val="21"/>
          <w:szCs w:val="21"/>
        </w:rPr>
        <w:t xml:space="preserve">Nigeria's administrative hierarchy is modelled 3 levels deep (state, LGA, ward); other countries reuse the same table with their own hierarchy depth.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countryId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Countries)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= State, 2 = Local Government Area, 3 = Ward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parentId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self, 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Self-referencing hierarchy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Banks</w:t>
      </w:r>
    </w:p>
    <w:p>
      <w:pPr>
        <w:spacing w:after="160" w:line="276"/>
      </w:pPr>
      <w:r>
        <w:rPr>
          <w:sz w:val="21"/>
          <w:szCs w:val="21"/>
        </w:rPr>
        <w:t xml:space="preserve">Reference data for settlement bank selection.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CBN bank code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Address</w:t>
      </w:r>
    </w:p>
    <w:p>
      <w:pPr>
        <w:spacing w:after="160" w:line="276"/>
      </w:pPr>
      <w:r>
        <w:rPr>
          <w:sz w:val="21"/>
          <w:szCs w:val="21"/>
        </w:rPr>
        <w:t xml:space="preserve">Physical address, linkable to a User or Business.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countryId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Countries)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States)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localGovernmentId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States, level=2)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streetName / 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freeform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latitude / longitude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geo-coordinates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VirtualAccount</w:t>
      </w:r>
    </w:p>
    <w:p>
      <w:pPr>
        <w:spacing w:after="160" w:line="276"/>
      </w:pPr>
      <w:r>
        <w:rPr>
          <w:sz w:val="21"/>
          <w:szCs w:val="21"/>
        </w:rPr>
        <w:t xml:space="preserve">The account a user/business receives collections into. Automatically provisioned at signup (FR-1).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accountNumber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 within Nawill Pay (not a globally-routable NUBAN by default)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Users, 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Business, 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of userId/businessId is set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(ISO 4217)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Defaults to NGN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BigInteger (minor units)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 ledger balance, kobo-denominated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Extensible metadata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status, 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Inherited base fields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SettlementAccount</w:t>
      </w:r>
    </w:p>
    <w:p>
      <w:pPr>
        <w:spacing w:after="160" w:line="276"/>
      </w:pPr>
      <w:r>
        <w:rPr>
          <w:sz w:val="21"/>
          <w:szCs w:val="21"/>
        </w:rPr>
        <w:t xml:space="preserve">The bank account a virtual account's funds settle to.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virtualAccountId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VirtualAccount)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bankAccountId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BankAccount)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splitPercentage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Supports FR-2 percentage-based splits when multiple settlement accounts exist per virtual account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BankAccount</w:t>
      </w:r>
    </w:p>
    <w:p>
      <w:pPr>
        <w:spacing w:after="160" w:line="276"/>
      </w:pPr>
      <w:r>
        <w:rPr>
          <w:sz w:val="21"/>
          <w:szCs w:val="21"/>
        </w:rPr>
        <w:t xml:space="preserve">External bank account details.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Banks)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Resolved via NIBSS name-enquiry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Denormalized for fast lookup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KYC</w:t>
      </w:r>
    </w:p>
    <w:p>
      <w:pPr>
        <w:spacing w:after="160" w:line="276"/>
      </w:pPr>
      <w:r>
        <w:rPr>
          <w:sz w:val="21"/>
          <w:szCs w:val="21"/>
        </w:rPr>
        <w:t xml:space="preserve">Identity/business verification records.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Users, 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Business, nullable)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1 / 2 / 3 — governs transaction limits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bvn / nin / cacNumber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(encrypted)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Stored encrypted at rest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status, 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Avatar</w:t>
      </w:r>
    </w:p>
    <w:p>
      <w:pPr>
        <w:spacing w:after="160" w:line="276"/>
      </w:pPr>
      <w:r>
        <w:rPr>
          <w:sz w:val="21"/>
          <w:szCs w:val="21"/>
        </w:rPr>
        <w:t xml:space="preserve">Profile image reference.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Denormalized for quick filtering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imageUrl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PaymentProcessor</w:t>
      </w:r>
    </w:p>
    <w:p>
      <w:pPr>
        <w:spacing w:after="160" w:line="276"/>
      </w:pPr>
      <w:r>
        <w:rPr>
          <w:sz w:val="21"/>
          <w:szCs w:val="21"/>
        </w:rPr>
        <w:t xml:space="preserve">Onboarded processor integrations (FR-6).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Interswitch, Paystack, Flutterwave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Restricted to Supply Admin role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/ INACTIVE — governs whether new transactions may route through it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Transactions</w:t>
      </w:r>
    </w:p>
    <w:p>
      <w:pPr>
        <w:spacing w:after="160" w:line="276"/>
      </w:pPr>
      <w:r>
        <w:rPr>
          <w:sz w:val="21"/>
          <w:szCs w:val="21"/>
        </w:rPr>
        <w:t xml:space="preserve">The core transaction ledger.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BigInteger (minor units)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BigInteger (minor units)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 computed per FR-11 tiers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idempotencyKey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 constraint; see Security &amp; Deployment Deep-Dive §1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paymentProcessorId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PaymentProcessor)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PAID / PENDING / FAILED / PROCESSING / ON_HOLD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(CR) / DEBIT (DR)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Correlates multi-step payment sessions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recipientAccountId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SettlementAccount / BankAccount)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status, createdAt, updatedAt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Inherited base fields (status distinct from transactionStatus)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UserChangeLog / ActivityLog</w:t>
      </w:r>
    </w:p>
    <w:p>
      <w:pPr>
        <w:spacing w:after="160" w:line="276"/>
      </w:pPr>
      <w:r>
        <w:rPr>
          <w:sz w:val="21"/>
          <w:szCs w:val="21"/>
        </w:rPr>
        <w:t xml:space="preserve">Append-only audit trail of user and system activity.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 (FK → Users)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/ CREATE / UPDATE / DELETE / TRANSACTION / SECURITY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/ 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Human-readable description + structured payload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ipAddress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Entity Relationship Overview</w:t>
      </w:r>
    </w:p>
    <w:p>
      <w:pPr>
        <w:spacing w:after="160" w:line="276"/>
      </w:pPr>
      <w:r>
        <w:rPr>
          <w:sz w:val="21"/>
          <w:szCs w:val="21"/>
        </w:rPr>
        <w:t xml:space="preserve">Relationships are summarized below rather than as a graphical ERD, so the document remains portable; a generated ERD image (e.g. via dbdiagram.io / SchemaSpy from the actual DDL) should be attached as Appendix A once the schema is implemented in code.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6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Countries → States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country has many states/admin-divisions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States → States (self)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Self-referencing hierarchy: State → LGA → Ward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Address → Countries / States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address references one country and one state/LGA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→ Address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→ Business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business has many staff users; a user belongs to at most one business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→ Users (owner)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Owner reference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↔ 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Via UserRole join table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 ↔ Permission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Via RolePermission join table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/ Business → VirtualAccount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user/business may hold more than one virtual account (e.g. per currency)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VirtualAccount → SettlementAccount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Supports split settlement across multiple bank accounts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SettlementAccount → BankAccount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BankAccount → Banks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/ Business → KYC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History of KYC tier upgrades retained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→ Avatar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 → PaymentProcessor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 → SettlementAccount/BankAccount (recipient)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 → VirtualAccount (implicit via sessionId/recipient)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: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transaction ultimately debits/credits a virtual account balance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→ UserChangeLog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Append-only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Nawill Technology Ltd · Confidential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888888"/>
        <w:sz w:val="16"/>
        <w:szCs w:val="16"/>
      </w:rPr>
      <w:t xml:space="preserve">Nawill Pay — Technical Architecture &amp;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2026-08-05T01:45:12.344Z</dcterms:created>
  <dcterms:modified xsi:type="dcterms:W3CDTF">2026-08-05T01:45:12.344Z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