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E7C7B"/>
          <w:sz w:val="30"/>
          <w:szCs w:val="30"/>
        </w:rPr>
        <w:t xml:space="preserve">NAWILL PAY</w:t>
      </w:r>
    </w:p>
    <w:p>
      <w:pPr>
        <w:spacing w:after="200" w:before="200"/>
        <w:jc w:val="center"/>
      </w:pPr>
      <w:r>
        <w:rPr>
          <w:b/>
          <w:bCs/>
          <w:color w:val="1F3864"/>
          <w:sz w:val="52"/>
          <w:szCs w:val="52"/>
        </w:rPr>
        <w:t xml:space="preserve">Contribution Guide, Naming Conventions &amp; Process Flows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Engineering Handbook — How We Build, Name Things, and Move Money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Version 0.1 (MVP Draft)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Prepared by: Nawill Technology Ltd — Engineering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Date: August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Part A — Contribution Guide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A.1 Getting Started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Clone the relevant module repository (or the monorepo, if the modular monolith is kept in one repo — recommended at MVP stage).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Run the local Docker Compose stack (Postgres, Redis, Kafka) — see README for the docker-compose.dev.yml.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Copy .env.example to .env.local and populate sandbox credentials (never commit real credentials).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Run ./mvnw spring-boot:run -Dspring-boot.run.profiles=dev.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A.2 Definition of Ready / Definition of Done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 of Ready (before starting)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 of Done (before merging)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Ticket has clear acceptance criteria, linked to a requirement ID (FR-x/NFR-x) where applicable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+ integration tests written and passing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Design/API contract agreed for any new external-facing endpoint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Swagger/OpenAPI docs auto-generated and reviewed for accuracy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schema change has a draft migration reviewed by another engineer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new Sonar/dependency-scan critical findings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Structured logging + request-id propagation present on new endpoints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 approved by at least one other engineer; CI green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A.3 Pull Request Standards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One logical change per PR — prefer several small PRs over one large one.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PR description must state: what changed, why, which requirement/ticket it addresses, and how it was tested.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Financial-logic PRs (fees, splits, idempotency, RBAC) require a second reviewer with domain context, in addition to the standard approval.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Squash-merge to main with a Conventional Commit message (see A.4).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A.4 Commit Message Convention</w:t>
      </w:r>
    </w:p>
    <w:p>
      <w:pPr>
        <w:spacing w:after="160" w:line="276"/>
      </w:pPr>
      <w:r>
        <w:rPr>
          <w:sz w:val="21"/>
          <w:szCs w:val="21"/>
        </w:rPr>
        <w:t xml:space="preserve">Format: &lt;type&gt;(&lt;scope&gt;): &lt;short summary&gt;, e.g. feat(payments): add percentage-based settlement splits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new feature / requirement implemented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bug fix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refactor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 change that neither fixes a bug nor adds a feature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Adding or correcting tests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Documentation only changes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process, tooling, dependency bumps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change specifically addressing a security finding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A.5 Code Review Checklist (financial code specifically)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Does every mutating money-movement endpoint require and correctly persist an idempotency key?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Are all monetary values handled as integer minor units (kobo), never floating point?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Is every business-scoped query filtered by the caller's businessId, not just permission-checked?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Does the change log the request-id and, for privileged actions, the acting admin's identity?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Are new external calls wrapped in a circuit breaker / timeout, per §6 of the Security &amp; Deployment Deep-Dive?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Part B — Naming Conventions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B.1 Git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Branches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feature/&lt;TICKET&gt;-&lt;kebab-slug&gt;, fix/&lt;TICKET&gt;-&lt;kebab-slug&gt;, hotfix/&lt;TICKET&gt;-&lt;kebab-slug&gt;, release/&lt;vX.Y.Z&gt; — e.g. feature/NW-142-payment-links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Commits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Conventional Commits — see A.4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Tags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v&lt;MAJOR&gt;.&lt;MINOR&gt;.&lt;PATCH&gt;, Semantic Versioning — e.g. v0.3.1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B.2 Java Code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package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ng.com.nawill.pay.&lt;module&gt;, e.g. ng.com.nawill.pay.payments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Classes / Interfaces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UpperCamelCase, noun-based — TransactionService, PaymentProcessorRepository, IdempotencyGuard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Interfaces vs. Impl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Interface: PaymentProcessorGateway; implementation: PaystackGateway, InterswitchGateway — never suffix the interface with Impl on the primary contract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Methods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lowerCamelCase, verb-first — initiateTransaction(), resolveAccountName(), reconcileBatch()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DTOs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Suffix by direction: CreateTransactionRequest, TransactionResponse, WebhookPayload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Entities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Singular noun matching the table's logical name — Transaction, VirtualAccount, PaymentProcessor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UPPER_SNAKE_CASE values — TransactionStatus.ON_HOLD, UserType.SUPERADMIN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Constants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UPPER_SNAKE_CASE — DEFAULT_MIN_TRANSFER_AMOUNT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 classes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&lt;ClassUnderTest&gt;Test for unit tests, &lt;ClassUnderTest&gt;IT for integration tests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B.3 Database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snake_case, plural — transactions, virtual_accounts, payment_processors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Columns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snake_case — created_at, idempotency_key, transaction_status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Foreign keys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&lt;singular_table&gt;_id — user_id, business_id, payment_processor_id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idx_&lt;table&gt;_&lt;column(s)&gt; — idx_transactions_idempotency_key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Migration files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Flyway: V&lt;version&gt;__&lt;description&gt;.sql, e.g. V0007__add_settlement_split_percentage.sql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B.4 API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path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/api/v{n}/&lt;resource&gt;, plural nouns — /api/v1/transactions, /api/v1/virtual-accounts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URI-based major versioning (/v1, /v2); breaking changes always bump the major version; additive fields do not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Headers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Idempotency-Key, X-Request-Id, Authorization: Bearer &lt;jwt&gt;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Query params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camelCase — /transactions?fromDate=&amp;toDate=&amp;status=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 fields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camelCase to match DTOs, consistent both directions (request/response)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B.5 Environments &amp; Config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Spring profiles: dev, staging, prod — never a custom ad-hoc profile name.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Environment variables: UPPER_SNAKE_CASE, module-prefixed where ambiguous — PAYMENTS_DB_URL, AUTH_JWT_SECRET.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sz w:val="21"/>
          <w:szCs w:val="21"/>
        </w:rPr>
        <w:t xml:space="preserve">Feature flags: &lt;module&gt;.&lt;feature&gt;-enabled, e.g. payments.new-settlement-engine-enabled.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Part C — Process Flows</w:t>
      </w:r>
    </w:p>
    <w:p>
      <w:pPr>
        <w:spacing w:after="160" w:line="276"/>
      </w:pPr>
      <w:r>
        <w:rPr>
          <w:sz w:val="21"/>
          <w:szCs w:val="21"/>
        </w:rPr>
        <w:t xml:space="preserve">Represented as sequential swimlane tables (Actor → System step) for portability. Each can be redrawn as a swimlane diagram/organogram in Miro/Lucidchart for stakeholder presentations without changing the underlying logic documented here.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C.1 Onboarding Flow</w:t>
      </w:r>
    </w:p>
    <w:p>
      <w:pPr>
        <w:spacing w:after="160" w:line="276"/>
      </w:pPr>
      <w:r>
        <w:rPr>
          <w:sz w:val="21"/>
          <w:szCs w:val="21"/>
        </w:rPr>
        <w:t xml:space="preserve">Covers both individual (USER) and business signup, per FR-1, FR-8, FR-9.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1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User/Business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Submits signup form: name, email, phone, (CAC number if business).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 User/Business record with status ACTIVE, isVerified = false; sends email/phone OTP.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Verifies OTP.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Marks contact as verified; prompts for 2FA setup (configurable) and Tier-1 KYC (BVN/NIN or CAC).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(KYC service)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Calls third-party identity verification provider; stores result in KYC table with tier assigned.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successful Tier-1 KYC, auto-provisions a VirtualAccount (FR-1) and default Role assignment (USER, or Business Owner).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Sends welcome notification with virtual account details.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User/Business (optional)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 a PSSP/partner: requests or accepts an invite, then generates API key pair + registers webhook URL (FR-9).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Business Owner (optional)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 scoped internal roles (Admin, Account Officer) and invites staff (FR-5a).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Attempts a transaction above ₦50,000 (or configured threshold) → system triggers Tier-2/enhanced KYC before allowing it (FR-8a).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C.2 Transaction (Collection &amp; Settlement) Flow</w:t>
      </w:r>
    </w:p>
    <w:p>
      <w:pPr>
        <w:spacing w:after="160" w:line="276"/>
      </w:pPr>
      <w:r>
        <w:rPr>
          <w:sz w:val="21"/>
          <w:szCs w:val="21"/>
        </w:rPr>
        <w:t xml:space="preserve">Covers inbound collection through to settlement, per FR-10, FR-11, FR-2, FR-Txn-1.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1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Payer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Initiates payment to a Nawill Pay virtual account / payment link, via a payment processor's checkout.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Payment Processor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Processes payment, sends an inbound webhook to Nawill Pay with the processor's event ID.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(Payments module)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Verifies webhook signature (HMAC) and source IP; checks processed_webhook_events for duplicate delivery (idempotent no-op if already applied).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Creates/updates the Transaction record using the idempotency key; computes the applicable fee tier (FR-11); sets transactionStatus = PROCESSING.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Confirms real fund receipt into the pooled collection account (via partner bank NIBSS notification or processor settlement confirmation).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Credits the payer's/merchant's VirtualAccount ledger balance; sets transactionStatus = PAID.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(Settlement engine)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 split settlement is configured (FR-2), calculates each SettlementAccount's share by percentage.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Initiates disbursement to SettlementAccount(s) via the partner bank's NIBSS NIP integration, after a Name Enquiry confirmation.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Sends outbound webhook to the merchant/partner and an in-app/SMS/email notification to the user (FR-Notif-1).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(Reconciliation job)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6 hours, reconciles the transaction against processor and NIBSS statements; flags drift for admin review (FR-Recon-1).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C.3 Reporting / Statement Generation Flow</w:t>
      </w:r>
    </w:p>
    <w:p>
      <w:pPr>
        <w:spacing w:after="160" w:line="276"/>
      </w:pPr>
      <w:r>
        <w:rPr>
          <w:sz w:val="21"/>
          <w:szCs w:val="21"/>
        </w:rPr>
        <w:t xml:space="preserve">Per FR-Report-1.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1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Business/Admin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Requests a report from the admin portal or API, specifying date range and filters (status, processor, business).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(Reporting module)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Queries the read-replica / materialized view (not the primary transactional DB) to avoid contending with live payments.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Compiles report (transaction statement, settlement report, or reconciliation report) and renders to CSV/PDF.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Persists the generated report reference and notifies the requester when ready (for large async reports) or returns it synchronously for small ranges.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Business/Admin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Downloads the report; action is recorded in UserChangeLog/admin action logs.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C.4 Admin / RBAC Management Flow</w:t>
      </w:r>
    </w:p>
    <w:p>
      <w:pPr>
        <w:spacing w:after="160" w:line="276"/>
      </w:pPr>
      <w:r>
        <w:rPr>
          <w:sz w:val="21"/>
          <w:szCs w:val="21"/>
        </w:rPr>
        <w:t xml:space="preserve">Per FR-3, FR-4, FR-5, FR-5a, FR-6.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1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SUPERADMIN (seeded)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Logs in with unrestricted, pre-seeded access; no self-service creation path exists for this role.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SUPERADMIN / Supply 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Onboards and activates a new PaymentProcessor (restricted permission: processors:configure) (FR-6).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Business Owner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Creates a scoped Role (e.g. "Account Officer") with a subset of permissions, assigns it to a staff User (FR-5a).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Admin/Account Officer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Logs into the admin portal; is presented only with the menus/data their permission set and businessId scope allow (FR-4).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Views analytics dashboard — transactions, settlement summaries, filtered to their business scope (FR-3).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privileged action (role change, processor activation, fee-tier edit) is written to the immutable admin action log with the acting admin's identity.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C.5 Logging &amp; Audit Flow (App &amp; User Activity)</w:t>
      </w:r>
    </w:p>
    <w:p>
      <w:pPr>
        <w:spacing w:after="160" w:line="276"/>
      </w:pPr>
      <w:r>
        <w:rPr>
          <w:sz w:val="21"/>
          <w:szCs w:val="21"/>
        </w:rPr>
        <w:t xml:space="preserve">Per NFR-3 and the Security &amp; Deployment Deep-Dive §7.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100"/>
      </w:tblGrid>
      <w:tr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Client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Sends any API request, optionally with a Request-Id header.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(Gateway/Filter)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If Request-Id is absent, generates one; places it in MDC for the lifetime of the request.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(Controller → Service → Repository)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log line emitted at any layer automatically includes the requestId, module, and (if authenticated) userId.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 any state-changing action, writes a structured entry to UserChangeLog (activity, type, ipAddress, timestamp).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System (Log shipper)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Ships structured JSON logs to the centralized log store, applying PII redaction before persistence.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Monitoring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Metrics (latency, error rate, throughput) scraped continuously; alerts fire against NFR-tied thresholds; on-call engineer uses the requestId to trace the full path of any failed request across modules.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Nawill Technology Ltd · Confidential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888888"/>
        <w:sz w:val="16"/>
        <w:szCs w:val="16"/>
      </w:rPr>
      <w:t xml:space="preserve">Nawill Pay — Contribution, Naming &amp; Process 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2026-08-05T01:47:41.294Z</dcterms:created>
  <dcterms:modified xsi:type="dcterms:W3CDTF">2026-08-05T01:47:41.295Z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