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4B" w:rsidRDefault="00887897">
      <w:r>
        <w:t>Complete SOM document doesn’t have any SM specific guidance</w:t>
      </w:r>
    </w:p>
    <w:p w:rsidR="0056395A" w:rsidRDefault="0056395A"/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3155"/>
        <w:gridCol w:w="3156"/>
        <w:gridCol w:w="3156"/>
      </w:tblGrid>
      <w:tr w:rsidR="00623DB7" w:rsidTr="008C365E">
        <w:trPr>
          <w:trHeight w:val="274"/>
        </w:trPr>
        <w:tc>
          <w:tcPr>
            <w:tcW w:w="3155" w:type="dxa"/>
          </w:tcPr>
          <w:p w:rsidR="00623DB7" w:rsidRDefault="00623DB7" w:rsidP="00623DB7">
            <w:pPr>
              <w:jc w:val="center"/>
            </w:pPr>
            <w:r>
              <w:t>Item</w:t>
            </w:r>
          </w:p>
        </w:tc>
        <w:tc>
          <w:tcPr>
            <w:tcW w:w="3156" w:type="dxa"/>
          </w:tcPr>
          <w:p w:rsidR="00623DB7" w:rsidRDefault="0033390E" w:rsidP="00AF4832">
            <w:pPr>
              <w:jc w:val="center"/>
            </w:pPr>
            <w:r>
              <w:t>Thor implementation</w:t>
            </w:r>
          </w:p>
        </w:tc>
        <w:tc>
          <w:tcPr>
            <w:tcW w:w="3156" w:type="dxa"/>
          </w:tcPr>
          <w:p w:rsidR="00623DB7" w:rsidRDefault="0033390E" w:rsidP="00AF4832">
            <w:pPr>
              <w:jc w:val="center"/>
            </w:pPr>
            <w:r>
              <w:t>Remarks</w:t>
            </w:r>
          </w:p>
        </w:tc>
      </w:tr>
      <w:tr w:rsidR="00623DB7" w:rsidTr="008C365E">
        <w:trPr>
          <w:trHeight w:val="259"/>
        </w:trPr>
        <w:tc>
          <w:tcPr>
            <w:tcW w:w="3155" w:type="dxa"/>
          </w:tcPr>
          <w:p w:rsidR="00623DB7" w:rsidRDefault="00933F1E" w:rsidP="00933F1E">
            <w:pPr>
              <w:jc w:val="center"/>
            </w:pPr>
            <w:r w:rsidRPr="00933F1E">
              <w:t>System &amp; application hardening</w:t>
            </w:r>
          </w:p>
        </w:tc>
        <w:tc>
          <w:tcPr>
            <w:tcW w:w="3156" w:type="dxa"/>
          </w:tcPr>
          <w:p w:rsidR="00623DB7" w:rsidRDefault="00670B69">
            <w:r>
              <w:t>It is in the form of guidance</w:t>
            </w:r>
          </w:p>
        </w:tc>
        <w:tc>
          <w:tcPr>
            <w:tcW w:w="3156" w:type="dxa"/>
          </w:tcPr>
          <w:p w:rsidR="00623DB7" w:rsidRDefault="002553B7">
            <w:r>
              <w:t>SMD</w:t>
            </w:r>
            <w:r w:rsidR="00670B69">
              <w:t xml:space="preserve"> in the form of Q&amp;A</w:t>
            </w:r>
          </w:p>
        </w:tc>
      </w:tr>
      <w:tr w:rsidR="00623DB7" w:rsidTr="008C365E">
        <w:trPr>
          <w:trHeight w:val="274"/>
        </w:trPr>
        <w:tc>
          <w:tcPr>
            <w:tcW w:w="3155" w:type="dxa"/>
          </w:tcPr>
          <w:p w:rsidR="00623DB7" w:rsidRDefault="002E198B">
            <w:r w:rsidRPr="002E198B">
              <w:t>Security guidance</w:t>
            </w:r>
          </w:p>
        </w:tc>
        <w:tc>
          <w:tcPr>
            <w:tcW w:w="3156" w:type="dxa"/>
          </w:tcPr>
          <w:p w:rsidR="00623DB7" w:rsidRDefault="006D18F4">
            <w:r>
              <w:t>Not available</w:t>
            </w:r>
          </w:p>
        </w:tc>
        <w:tc>
          <w:tcPr>
            <w:tcW w:w="3156" w:type="dxa"/>
          </w:tcPr>
          <w:p w:rsidR="00623DB7" w:rsidRDefault="00623DB7"/>
        </w:tc>
      </w:tr>
      <w:tr w:rsidR="00623DB7" w:rsidTr="008C365E">
        <w:trPr>
          <w:trHeight w:val="534"/>
        </w:trPr>
        <w:tc>
          <w:tcPr>
            <w:tcW w:w="3155" w:type="dxa"/>
          </w:tcPr>
          <w:p w:rsidR="00623DB7" w:rsidRDefault="002F08BD">
            <w:r w:rsidRPr="002F08BD">
              <w:t>Transmission Confidentiality</w:t>
            </w:r>
          </w:p>
        </w:tc>
        <w:tc>
          <w:tcPr>
            <w:tcW w:w="3156" w:type="dxa"/>
          </w:tcPr>
          <w:p w:rsidR="00623DB7" w:rsidRDefault="00623DB7"/>
        </w:tc>
        <w:tc>
          <w:tcPr>
            <w:tcW w:w="3156" w:type="dxa"/>
          </w:tcPr>
          <w:p w:rsidR="00623DB7" w:rsidRDefault="00D7558A">
            <w:r>
              <w:t>Technical details incorporated</w:t>
            </w:r>
            <w:r w:rsidR="003130CF">
              <w:t xml:space="preserve"> </w:t>
            </w:r>
            <w:r>
              <w:t>(MQTT)</w:t>
            </w:r>
          </w:p>
        </w:tc>
      </w:tr>
      <w:tr w:rsidR="00623DB7" w:rsidTr="008C365E">
        <w:trPr>
          <w:trHeight w:val="274"/>
        </w:trPr>
        <w:tc>
          <w:tcPr>
            <w:tcW w:w="3155" w:type="dxa"/>
          </w:tcPr>
          <w:p w:rsidR="008C365E" w:rsidRDefault="00431F0B">
            <w:r w:rsidRPr="00431F0B">
              <w:t>Transmission Integrity</w:t>
            </w:r>
          </w:p>
        </w:tc>
        <w:tc>
          <w:tcPr>
            <w:tcW w:w="3156" w:type="dxa"/>
          </w:tcPr>
          <w:p w:rsidR="00623DB7" w:rsidRDefault="00623DB7"/>
        </w:tc>
        <w:tc>
          <w:tcPr>
            <w:tcW w:w="3156" w:type="dxa"/>
          </w:tcPr>
          <w:p w:rsidR="00623DB7" w:rsidRDefault="00623DB7"/>
        </w:tc>
      </w:tr>
      <w:tr w:rsidR="00623DB7" w:rsidTr="008C365E">
        <w:trPr>
          <w:trHeight w:val="259"/>
        </w:trPr>
        <w:tc>
          <w:tcPr>
            <w:tcW w:w="3155" w:type="dxa"/>
          </w:tcPr>
          <w:p w:rsidR="00623DB7" w:rsidRDefault="00EF25CB">
            <w:r>
              <w:t>Access control</w:t>
            </w:r>
          </w:p>
        </w:tc>
        <w:tc>
          <w:tcPr>
            <w:tcW w:w="3156" w:type="dxa"/>
          </w:tcPr>
          <w:p w:rsidR="00623DB7" w:rsidRDefault="00EF25CB">
            <w:r>
              <w:t>SOM Ch-7</w:t>
            </w:r>
          </w:p>
        </w:tc>
        <w:tc>
          <w:tcPr>
            <w:tcW w:w="3156" w:type="dxa"/>
          </w:tcPr>
          <w:p w:rsidR="00623DB7" w:rsidRDefault="00623DB7"/>
        </w:tc>
      </w:tr>
      <w:tr w:rsidR="00623DB7" w:rsidTr="008C365E">
        <w:trPr>
          <w:trHeight w:val="274"/>
        </w:trPr>
        <w:tc>
          <w:tcPr>
            <w:tcW w:w="3155" w:type="dxa"/>
          </w:tcPr>
          <w:p w:rsidR="00623DB7" w:rsidRDefault="001147E5">
            <w:r>
              <w:t xml:space="preserve">AC-2 </w:t>
            </w:r>
            <w:r w:rsidR="00DB6F8F">
              <w:t>Account management</w:t>
            </w:r>
          </w:p>
          <w:p w:rsidR="00DB6F8F" w:rsidRDefault="00384605">
            <w:r>
              <w:t xml:space="preserve">AC-7 </w:t>
            </w:r>
            <w:r w:rsidR="00DB6F8F" w:rsidRPr="00DB6F8F">
              <w:t>Unsuccessful logon attempts</w:t>
            </w:r>
          </w:p>
          <w:p w:rsidR="00DB6F8F" w:rsidRDefault="00384605">
            <w:r>
              <w:t xml:space="preserve">AC-11 </w:t>
            </w:r>
            <w:r w:rsidR="00DB6F8F" w:rsidRPr="00DB6F8F">
              <w:t>Session lock</w:t>
            </w:r>
          </w:p>
          <w:p w:rsidR="00DB6F8F" w:rsidRDefault="00384605">
            <w:r>
              <w:t xml:space="preserve">AC-12 </w:t>
            </w:r>
            <w:r w:rsidR="00DB6F8F" w:rsidRPr="00DB6F8F">
              <w:t>Session Termination</w:t>
            </w:r>
          </w:p>
        </w:tc>
        <w:tc>
          <w:tcPr>
            <w:tcW w:w="3156" w:type="dxa"/>
          </w:tcPr>
          <w:p w:rsidR="00623DB7" w:rsidRDefault="00881977">
            <w:r w:rsidRPr="00881977">
              <w:t>D005010066 - 16.2 User Account Management</w:t>
            </w:r>
          </w:p>
        </w:tc>
        <w:tc>
          <w:tcPr>
            <w:tcW w:w="3156" w:type="dxa"/>
          </w:tcPr>
          <w:p w:rsidR="00623DB7" w:rsidRDefault="00623DB7"/>
        </w:tc>
      </w:tr>
      <w:tr w:rsidR="00623DB7" w:rsidTr="008C365E">
        <w:trPr>
          <w:trHeight w:val="259"/>
        </w:trPr>
        <w:tc>
          <w:tcPr>
            <w:tcW w:w="3155" w:type="dxa"/>
          </w:tcPr>
          <w:p w:rsidR="00623DB7" w:rsidRDefault="001147E5">
            <w:r>
              <w:t>AT-</w:t>
            </w:r>
            <w:r w:rsidR="002E3AA3" w:rsidRPr="002E3AA3">
              <w:t xml:space="preserve">Security awareness and training </w:t>
            </w:r>
          </w:p>
        </w:tc>
        <w:tc>
          <w:tcPr>
            <w:tcW w:w="3156" w:type="dxa"/>
          </w:tcPr>
          <w:p w:rsidR="00623DB7" w:rsidRDefault="00F340D4">
            <w:r w:rsidRPr="00F340D4">
              <w:t>D005010066 -25.6 Training and Awareness</w:t>
            </w:r>
          </w:p>
        </w:tc>
        <w:tc>
          <w:tcPr>
            <w:tcW w:w="3156" w:type="dxa"/>
          </w:tcPr>
          <w:p w:rsidR="00623DB7" w:rsidRDefault="00623DB7"/>
        </w:tc>
      </w:tr>
      <w:tr w:rsidR="005549A4" w:rsidTr="008C365E">
        <w:trPr>
          <w:trHeight w:val="259"/>
        </w:trPr>
        <w:tc>
          <w:tcPr>
            <w:tcW w:w="3155" w:type="dxa"/>
          </w:tcPr>
          <w:p w:rsidR="005549A4" w:rsidRDefault="00995B63" w:rsidP="00995B63">
            <w:pPr>
              <w:jc w:val="center"/>
            </w:pPr>
            <w:r w:rsidRPr="00995B63">
              <w:t>AU-2 Audit events</w:t>
            </w:r>
            <w:bookmarkStart w:id="0" w:name="_GoBack"/>
            <w:bookmarkEnd w:id="0"/>
          </w:p>
        </w:tc>
        <w:tc>
          <w:tcPr>
            <w:tcW w:w="3156" w:type="dxa"/>
          </w:tcPr>
          <w:p w:rsidR="005549A4" w:rsidRPr="00F340D4" w:rsidRDefault="005549A4"/>
        </w:tc>
        <w:tc>
          <w:tcPr>
            <w:tcW w:w="3156" w:type="dxa"/>
          </w:tcPr>
          <w:p w:rsidR="005549A4" w:rsidRDefault="005549A4"/>
        </w:tc>
      </w:tr>
      <w:tr w:rsidR="005549A4" w:rsidTr="008C365E">
        <w:trPr>
          <w:trHeight w:val="259"/>
        </w:trPr>
        <w:tc>
          <w:tcPr>
            <w:tcW w:w="3155" w:type="dxa"/>
          </w:tcPr>
          <w:p w:rsidR="005549A4" w:rsidRDefault="005549A4"/>
        </w:tc>
        <w:tc>
          <w:tcPr>
            <w:tcW w:w="3156" w:type="dxa"/>
          </w:tcPr>
          <w:p w:rsidR="005549A4" w:rsidRPr="00F340D4" w:rsidRDefault="005549A4"/>
        </w:tc>
        <w:tc>
          <w:tcPr>
            <w:tcW w:w="3156" w:type="dxa"/>
          </w:tcPr>
          <w:p w:rsidR="005549A4" w:rsidRDefault="005549A4"/>
        </w:tc>
      </w:tr>
      <w:tr w:rsidR="005549A4" w:rsidTr="008C365E">
        <w:trPr>
          <w:trHeight w:val="259"/>
        </w:trPr>
        <w:tc>
          <w:tcPr>
            <w:tcW w:w="3155" w:type="dxa"/>
          </w:tcPr>
          <w:p w:rsidR="005549A4" w:rsidRDefault="005549A4"/>
        </w:tc>
        <w:tc>
          <w:tcPr>
            <w:tcW w:w="3156" w:type="dxa"/>
          </w:tcPr>
          <w:p w:rsidR="005549A4" w:rsidRPr="00F340D4" w:rsidRDefault="005549A4"/>
        </w:tc>
        <w:tc>
          <w:tcPr>
            <w:tcW w:w="3156" w:type="dxa"/>
          </w:tcPr>
          <w:p w:rsidR="005549A4" w:rsidRDefault="005549A4"/>
        </w:tc>
      </w:tr>
      <w:tr w:rsidR="005549A4" w:rsidTr="008C365E">
        <w:trPr>
          <w:trHeight w:val="259"/>
        </w:trPr>
        <w:tc>
          <w:tcPr>
            <w:tcW w:w="3155" w:type="dxa"/>
          </w:tcPr>
          <w:p w:rsidR="005549A4" w:rsidRDefault="005549A4"/>
        </w:tc>
        <w:tc>
          <w:tcPr>
            <w:tcW w:w="3156" w:type="dxa"/>
          </w:tcPr>
          <w:p w:rsidR="005549A4" w:rsidRPr="00F340D4" w:rsidRDefault="005549A4"/>
        </w:tc>
        <w:tc>
          <w:tcPr>
            <w:tcW w:w="3156" w:type="dxa"/>
          </w:tcPr>
          <w:p w:rsidR="005549A4" w:rsidRDefault="005549A4"/>
        </w:tc>
      </w:tr>
      <w:tr w:rsidR="005549A4" w:rsidTr="008C365E">
        <w:trPr>
          <w:trHeight w:val="259"/>
        </w:trPr>
        <w:tc>
          <w:tcPr>
            <w:tcW w:w="3155" w:type="dxa"/>
          </w:tcPr>
          <w:p w:rsidR="005549A4" w:rsidRDefault="005549A4"/>
        </w:tc>
        <w:tc>
          <w:tcPr>
            <w:tcW w:w="3156" w:type="dxa"/>
          </w:tcPr>
          <w:p w:rsidR="005549A4" w:rsidRPr="00F340D4" w:rsidRDefault="005549A4"/>
        </w:tc>
        <w:tc>
          <w:tcPr>
            <w:tcW w:w="3156" w:type="dxa"/>
          </w:tcPr>
          <w:p w:rsidR="005549A4" w:rsidRDefault="005549A4"/>
        </w:tc>
      </w:tr>
      <w:tr w:rsidR="005549A4" w:rsidTr="008C365E">
        <w:trPr>
          <w:trHeight w:val="259"/>
        </w:trPr>
        <w:tc>
          <w:tcPr>
            <w:tcW w:w="3155" w:type="dxa"/>
          </w:tcPr>
          <w:p w:rsidR="005549A4" w:rsidRDefault="005549A4"/>
        </w:tc>
        <w:tc>
          <w:tcPr>
            <w:tcW w:w="3156" w:type="dxa"/>
          </w:tcPr>
          <w:p w:rsidR="005549A4" w:rsidRPr="00F340D4" w:rsidRDefault="005549A4"/>
        </w:tc>
        <w:tc>
          <w:tcPr>
            <w:tcW w:w="3156" w:type="dxa"/>
          </w:tcPr>
          <w:p w:rsidR="005549A4" w:rsidRDefault="005549A4"/>
        </w:tc>
      </w:tr>
      <w:tr w:rsidR="005549A4" w:rsidTr="008C365E">
        <w:trPr>
          <w:trHeight w:val="259"/>
        </w:trPr>
        <w:tc>
          <w:tcPr>
            <w:tcW w:w="3155" w:type="dxa"/>
          </w:tcPr>
          <w:p w:rsidR="005549A4" w:rsidRDefault="005549A4"/>
        </w:tc>
        <w:tc>
          <w:tcPr>
            <w:tcW w:w="3156" w:type="dxa"/>
          </w:tcPr>
          <w:p w:rsidR="005549A4" w:rsidRPr="00F340D4" w:rsidRDefault="005549A4"/>
        </w:tc>
        <w:tc>
          <w:tcPr>
            <w:tcW w:w="3156" w:type="dxa"/>
          </w:tcPr>
          <w:p w:rsidR="005549A4" w:rsidRDefault="005549A4"/>
        </w:tc>
      </w:tr>
      <w:tr w:rsidR="005549A4" w:rsidTr="008C365E">
        <w:trPr>
          <w:trHeight w:val="259"/>
        </w:trPr>
        <w:tc>
          <w:tcPr>
            <w:tcW w:w="3155" w:type="dxa"/>
          </w:tcPr>
          <w:p w:rsidR="005549A4" w:rsidRDefault="005549A4"/>
        </w:tc>
        <w:tc>
          <w:tcPr>
            <w:tcW w:w="3156" w:type="dxa"/>
          </w:tcPr>
          <w:p w:rsidR="005549A4" w:rsidRPr="00F340D4" w:rsidRDefault="005549A4"/>
        </w:tc>
        <w:tc>
          <w:tcPr>
            <w:tcW w:w="3156" w:type="dxa"/>
          </w:tcPr>
          <w:p w:rsidR="005549A4" w:rsidRDefault="005549A4"/>
        </w:tc>
      </w:tr>
    </w:tbl>
    <w:p w:rsidR="00AC1FAE" w:rsidRDefault="006539C2"/>
    <w:sectPr w:rsidR="00AC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9C2" w:rsidRDefault="006539C2" w:rsidP="00623DB7">
      <w:pPr>
        <w:spacing w:after="0" w:line="240" w:lineRule="auto"/>
      </w:pPr>
      <w:r>
        <w:separator/>
      </w:r>
    </w:p>
  </w:endnote>
  <w:endnote w:type="continuationSeparator" w:id="0">
    <w:p w:rsidR="006539C2" w:rsidRDefault="006539C2" w:rsidP="0062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9C2" w:rsidRDefault="006539C2" w:rsidP="00623DB7">
      <w:pPr>
        <w:spacing w:after="0" w:line="240" w:lineRule="auto"/>
      </w:pPr>
      <w:r>
        <w:separator/>
      </w:r>
    </w:p>
  </w:footnote>
  <w:footnote w:type="continuationSeparator" w:id="0">
    <w:p w:rsidR="006539C2" w:rsidRDefault="006539C2" w:rsidP="00623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B7"/>
    <w:rsid w:val="00074705"/>
    <w:rsid w:val="001147E5"/>
    <w:rsid w:val="002553B7"/>
    <w:rsid w:val="0027064B"/>
    <w:rsid w:val="002E198B"/>
    <w:rsid w:val="002E3AA3"/>
    <w:rsid w:val="002F08BD"/>
    <w:rsid w:val="003130CF"/>
    <w:rsid w:val="0033390E"/>
    <w:rsid w:val="00384605"/>
    <w:rsid w:val="00431F0B"/>
    <w:rsid w:val="00464C99"/>
    <w:rsid w:val="005549A4"/>
    <w:rsid w:val="0056395A"/>
    <w:rsid w:val="00623DB7"/>
    <w:rsid w:val="006539C2"/>
    <w:rsid w:val="00670B69"/>
    <w:rsid w:val="006B337D"/>
    <w:rsid w:val="006D18F4"/>
    <w:rsid w:val="00867B28"/>
    <w:rsid w:val="00881977"/>
    <w:rsid w:val="00887897"/>
    <w:rsid w:val="008C365E"/>
    <w:rsid w:val="00933F1E"/>
    <w:rsid w:val="00995B63"/>
    <w:rsid w:val="00AF4832"/>
    <w:rsid w:val="00D7558A"/>
    <w:rsid w:val="00DB6F8F"/>
    <w:rsid w:val="00EF25CB"/>
    <w:rsid w:val="00F340D4"/>
    <w:rsid w:val="00F6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67481"/>
  <w15:chartTrackingRefBased/>
  <w15:docId w15:val="{B68A34BE-F875-4161-B121-9B33FCD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29</cp:revision>
  <dcterms:created xsi:type="dcterms:W3CDTF">2022-02-09T05:41:00Z</dcterms:created>
  <dcterms:modified xsi:type="dcterms:W3CDTF">2022-02-09T07:12:00Z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2022-02-09T05:42:51Z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4c689438-172c-4add-b017-79b8d1956fad</vt:lpwstr>
  </property>
  <property fmtid="{D5CDD505-2E9C-101B-9397-08002B2CF9AE}" pid="8" name="MSIP_Label_40993bd6-1ede-4830-9dba-3224251d6855_ContentBits">
    <vt:lpwstr>0</vt:lpwstr>
  </property>
</Properties>
</file>