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80"/>
        <w:jc w:val="center"/>
      </w:pPr>
      <w:r>
        <w:rPr>
          <w:rFonts w:ascii="Arial" w:hAnsi="Arial"/>
          <w:b/>
          <w:color w:val="1A365D"/>
          <w:sz w:val="44"/>
        </w:rPr>
        <w:t>VULNERABILITY ASSESSMENT &amp; PENETRATION TESTING</w:t>
      </w:r>
    </w:p>
    <w:p>
      <w:pPr>
        <w:spacing w:after="600"/>
        <w:jc w:val="center"/>
      </w:pPr>
      <w:r>
        <w:rPr>
          <w:rFonts w:ascii="Arial" w:hAnsi="Arial"/>
          <w:i/>
          <w:color w:val="5A6B7C"/>
          <w:sz w:val="28"/>
        </w:rPr>
        <w:t>Security Assessment Report: SickOS Vulnerable Machine</w:t>
      </w:r>
    </w:p>
    <w:tbl>
      <w:tblPr>
        <w:tblW w:type="auto" w:w="0"/>
        <w:tblLayout w:type="fixed"/>
        <w:tblLook w:firstColumn="1" w:firstRow="1" w:lastColumn="0" w:lastRow="0" w:noHBand="0" w:noVBand="1" w:val="04A0"/>
      </w:tblPr>
      <w:tblGrid>
        <w:gridCol w:w="2880"/>
        <w:gridCol w:w="6480"/>
      </w:tblGrid>
      <w:tr>
        <w:tc>
          <w:tcPr>
            <w:tcW w:type="dxa" w:w="4680"/>
            <w:shd w:val="clear" w:color="auto" w:fill="F7FAFC"/>
            <w:tcMar>
              <w:top w:w="120" w:type="dxa"/>
              <w:bottom w:w="120" w:type="dxa"/>
              <w:left w:w="150" w:type="dxa"/>
              <w:right w:w="150" w:type="dxa"/>
            </w:tcMar>
          </w:tcPr>
          <w:p>
            <w:r>
              <w:rPr>
                <w:b/>
                <w:color w:val="1A365D"/>
              </w:rPr>
              <w:t>Target IP Address:</w:t>
            </w:r>
          </w:p>
        </w:tc>
        <w:tc>
          <w:tcPr>
            <w:tcW w:type="dxa" w:w="4680"/>
            <w:shd w:val="clear" w:color="auto" w:fill="F7FAFC"/>
            <w:tcMar>
              <w:top w:w="120" w:type="dxa"/>
              <w:bottom w:w="120" w:type="dxa"/>
              <w:left w:w="150" w:type="dxa"/>
              <w:right w:w="150" w:type="dxa"/>
            </w:tcMar>
          </w:tcPr>
          <w:p>
            <w:r>
              <w:t>172.20.10.3</w:t>
            </w:r>
          </w:p>
        </w:tc>
      </w:tr>
      <w:tr>
        <w:tc>
          <w:tcPr>
            <w:tcW w:type="dxa" w:w="4680"/>
            <w:shd w:val="clear" w:color="auto" w:fill="EDF2F7"/>
            <w:tcMar>
              <w:top w:w="120" w:type="dxa"/>
              <w:bottom w:w="120" w:type="dxa"/>
              <w:left w:w="150" w:type="dxa"/>
              <w:right w:w="150" w:type="dxa"/>
            </w:tcMar>
          </w:tcPr>
          <w:p>
            <w:r>
              <w:rPr>
                <w:b/>
                <w:color w:val="1A365D"/>
              </w:rPr>
              <w:t>Attacker IP Address:</w:t>
            </w:r>
          </w:p>
        </w:tc>
        <w:tc>
          <w:tcPr>
            <w:tcW w:type="dxa" w:w="4680"/>
            <w:shd w:val="clear" w:color="auto" w:fill="EDF2F7"/>
            <w:tcMar>
              <w:top w:w="120" w:type="dxa"/>
              <w:bottom w:w="120" w:type="dxa"/>
              <w:left w:w="150" w:type="dxa"/>
              <w:right w:w="150" w:type="dxa"/>
            </w:tcMar>
          </w:tcPr>
          <w:p>
            <w:r>
              <w:t>172.20.10.4</w:t>
            </w:r>
          </w:p>
        </w:tc>
      </w:tr>
      <w:tr>
        <w:tc>
          <w:tcPr>
            <w:tcW w:type="dxa" w:w="4680"/>
            <w:shd w:val="clear" w:color="auto" w:fill="F7FAFC"/>
            <w:tcMar>
              <w:top w:w="120" w:type="dxa"/>
              <w:bottom w:w="120" w:type="dxa"/>
              <w:left w:w="150" w:type="dxa"/>
              <w:right w:w="150" w:type="dxa"/>
            </w:tcMar>
          </w:tcPr>
          <w:p>
            <w:r>
              <w:rPr>
                <w:b/>
                <w:color w:val="1A365D"/>
              </w:rPr>
              <w:t>Assessment Date:</w:t>
            </w:r>
          </w:p>
        </w:tc>
        <w:tc>
          <w:tcPr>
            <w:tcW w:type="dxa" w:w="4680"/>
            <w:shd w:val="clear" w:color="auto" w:fill="F7FAFC"/>
            <w:tcMar>
              <w:top w:w="120" w:type="dxa"/>
              <w:bottom w:w="120" w:type="dxa"/>
              <w:left w:w="150" w:type="dxa"/>
              <w:right w:w="150" w:type="dxa"/>
            </w:tcMar>
          </w:tcPr>
          <w:p>
            <w:r>
              <w:t>June 7, 2026</w:t>
            </w:r>
          </w:p>
        </w:tc>
      </w:tr>
      <w:tr>
        <w:tc>
          <w:tcPr>
            <w:tcW w:type="dxa" w:w="4680"/>
            <w:shd w:val="clear" w:color="auto" w:fill="EDF2F7"/>
            <w:tcMar>
              <w:top w:w="120" w:type="dxa"/>
              <w:bottom w:w="120" w:type="dxa"/>
              <w:left w:w="150" w:type="dxa"/>
              <w:right w:w="150" w:type="dxa"/>
            </w:tcMar>
          </w:tcPr>
          <w:p>
            <w:r>
              <w:rPr>
                <w:b/>
                <w:color w:val="1A365D"/>
              </w:rPr>
              <w:t>Status / Severity:</w:t>
            </w:r>
          </w:p>
        </w:tc>
        <w:tc>
          <w:tcPr>
            <w:tcW w:type="dxa" w:w="4680"/>
            <w:shd w:val="clear" w:color="auto" w:fill="EDF2F7"/>
            <w:tcMar>
              <w:top w:w="120" w:type="dxa"/>
              <w:bottom w:w="120" w:type="dxa"/>
              <w:left w:w="150" w:type="dxa"/>
              <w:right w:w="150" w:type="dxa"/>
            </w:tcMar>
          </w:tcPr>
          <w:p>
            <w:r>
              <w:t>Exploited - Critical Risks Identified</w:t>
            </w:r>
          </w:p>
        </w:tc>
      </w:tr>
    </w:tbl>
    <w:p>
      <w:pPr>
        <w:spacing w:after="400"/>
      </w:pPr>
    </w:p>
    <w:p>
      <w:pPr>
        <w:keepNext/>
        <w:spacing w:before="360" w:after="120"/>
      </w:pPr>
      <w:r>
        <w:rPr>
          <w:rFonts w:ascii="Arial" w:hAnsi="Arial"/>
          <w:b/>
          <w:color w:val="1A365D"/>
          <w:sz w:val="28"/>
        </w:rPr>
        <w:t>1. Executive Summary</w:t>
      </w:r>
    </w:p>
    <w:p>
      <w:r>
        <w:t>During a scheduled security assessment of the target host 172.20.10.3 (SickOS), multiple critical vulnerabilities were discovered and verified. The primary attack vector involves an insecurely configured web server allowing arbitrary unauthenticated file uploads via the HTTP PUT method. Leveraging this vulnerability, a malicious server-side script (PHP reverse shell) was uploaded and structured to grant interactive command execution on the target OS, bypassing external standard defensive filters.</w:t>
      </w:r>
    </w:p>
    <w:p>
      <w:pPr>
        <w:keepNext/>
        <w:spacing w:before="360" w:after="120"/>
      </w:pPr>
      <w:r>
        <w:rPr>
          <w:rFonts w:ascii="Arial" w:hAnsi="Arial"/>
          <w:b/>
          <w:color w:val="1A365D"/>
          <w:sz w:val="28"/>
        </w:rPr>
        <w:t>2. Information Gathering &amp; Reconnaissance</w:t>
      </w:r>
    </w:p>
    <w:p>
      <w:r>
        <w:t>Host discovery and port scans were initiated to establish active network footprints within the local subnet area.</w:t>
      </w:r>
    </w:p>
    <w:p>
      <w:pPr>
        <w:spacing w:before="200" w:after="80"/>
        <w:jc w:val="center"/>
      </w:pPr>
      <w:r>
        <w:drawing>
          <wp:inline xmlns:a="http://schemas.openxmlformats.org/drawingml/2006/main" xmlns:pic="http://schemas.openxmlformats.org/drawingml/2006/picture">
            <wp:extent cx="5303520" cy="2708110"/>
            <wp:docPr id="1" name="Picture 1"/>
            <wp:cNvGraphicFramePr>
              <a:graphicFrameLocks noChangeAspect="1"/>
            </wp:cNvGraphicFramePr>
            <a:graphic>
              <a:graphicData uri="http://schemas.openxmlformats.org/drawingml/2006/picture">
                <pic:pic>
                  <pic:nvPicPr>
                    <pic:cNvPr id="0" name="ca11ba31-9731-4832-a310-3af387e7e8da.jpeg"/>
                    <pic:cNvPicPr/>
                  </pic:nvPicPr>
                  <pic:blipFill>
                    <a:blip r:embed="rId9"/>
                    <a:stretch>
                      <a:fillRect/>
                    </a:stretch>
                  </pic:blipFill>
                  <pic:spPr>
                    <a:xfrm>
                      <a:off x="0" y="0"/>
                      <a:ext cx="5303520" cy="2708110"/>
                    </a:xfrm>
                    <a:prstGeom prst="rect"/>
                  </pic:spPr>
                </pic:pic>
              </a:graphicData>
            </a:graphic>
          </wp:inline>
        </w:drawing>
      </w:r>
    </w:p>
    <w:p>
      <w:pPr>
        <w:spacing w:after="280"/>
        <w:jc w:val="center"/>
      </w:pPr>
      <w:r>
        <w:rPr>
          <w:i/>
          <w:color w:val="5A6B7C"/>
          <w:sz w:val="18"/>
        </w:rPr>
        <w:t>Figure: Initial target environment footprint and network topology review.</w:t>
      </w:r>
    </w:p>
    <w:p>
      <w:r>
        <w:t>Using active enumeration via arp-scan and detailed service mapping via Nmap, the specific open ports and version properties were gathered.</w:t>
      </w:r>
    </w:p>
    <w:p>
      <w:pPr>
        <w:spacing w:before="200" w:after="80"/>
        <w:jc w:val="center"/>
      </w:pPr>
      <w:r>
        <w:drawing>
          <wp:inline xmlns:a="http://schemas.openxmlformats.org/drawingml/2006/main" xmlns:pic="http://schemas.openxmlformats.org/drawingml/2006/picture">
            <wp:extent cx="5303520" cy="2708110"/>
            <wp:docPr id="2" name="Picture 2"/>
            <wp:cNvGraphicFramePr>
              <a:graphicFrameLocks noChangeAspect="1"/>
            </wp:cNvGraphicFramePr>
            <a:graphic>
              <a:graphicData uri="http://schemas.openxmlformats.org/drawingml/2006/picture">
                <pic:pic>
                  <pic:nvPicPr>
                    <pic:cNvPr id="0" name="eb5ae5ed-2aef-45fc-b67c-d91e14fbe620.jpeg"/>
                    <pic:cNvPicPr/>
                  </pic:nvPicPr>
                  <pic:blipFill>
                    <a:blip r:embed="rId10"/>
                    <a:stretch>
                      <a:fillRect/>
                    </a:stretch>
                  </pic:blipFill>
                  <pic:spPr>
                    <a:xfrm>
                      <a:off x="0" y="0"/>
                      <a:ext cx="5303520" cy="2708110"/>
                    </a:xfrm>
                    <a:prstGeom prst="rect"/>
                  </pic:spPr>
                </pic:pic>
              </a:graphicData>
            </a:graphic>
          </wp:inline>
        </w:drawing>
      </w:r>
    </w:p>
    <w:p>
      <w:pPr>
        <w:spacing w:after="280"/>
        <w:jc w:val="center"/>
      </w:pPr>
      <w:r>
        <w:rPr>
          <w:i/>
          <w:color w:val="5A6B7C"/>
          <w:sz w:val="18"/>
        </w:rPr>
        <w:t>Figure: arp-scan and Nmap service discovery identifying open services on ports 22 and 80.</w:t>
      </w:r>
    </w:p>
    <w:tbl>
      <w:tblPr>
        <w:tblW w:type="auto" w:w="0"/>
        <w:tblLook w:firstColumn="1" w:firstRow="1" w:lastColumn="0" w:lastRow="0" w:noHBand="0" w:noVBand="1" w:val="04A0"/>
      </w:tblPr>
      <w:tblGrid>
        <w:gridCol w:w="1872"/>
        <w:gridCol w:w="1872"/>
        <w:gridCol w:w="1872"/>
        <w:gridCol w:w="1872"/>
        <w:gridCol w:w="1872"/>
      </w:tblGrid>
      <w:tr>
        <w:tc>
          <w:tcPr>
            <w:tcW w:type="dxa" w:w="1152"/>
            <w:shd w:val="clear" w:color="auto" w:fill="1A365D"/>
            <w:tcMar>
              <w:top w:w="100" w:type="dxa"/>
              <w:bottom w:w="100" w:type="dxa"/>
              <w:left w:w="100" w:type="dxa"/>
              <w:right w:w="100" w:type="dxa"/>
            </w:tcMar>
          </w:tcPr>
          <w:p>
            <w:r>
              <w:rPr>
                <w:b/>
                <w:color w:val="FFFFFF"/>
              </w:rPr>
              <w:t>Port</w:t>
            </w:r>
          </w:p>
        </w:tc>
        <w:tc>
          <w:tcPr>
            <w:tcW w:type="dxa" w:w="1440"/>
            <w:shd w:val="clear" w:color="auto" w:fill="1A365D"/>
            <w:tcMar>
              <w:top w:w="100" w:type="dxa"/>
              <w:bottom w:w="100" w:type="dxa"/>
              <w:left w:w="100" w:type="dxa"/>
              <w:right w:w="100" w:type="dxa"/>
            </w:tcMar>
          </w:tcPr>
          <w:p>
            <w:r>
              <w:rPr>
                <w:b/>
                <w:color w:val="FFFFFF"/>
              </w:rPr>
              <w:t>Protocol</w:t>
            </w:r>
          </w:p>
        </w:tc>
        <w:tc>
          <w:tcPr>
            <w:tcW w:type="dxa" w:w="1440"/>
            <w:shd w:val="clear" w:color="auto" w:fill="1A365D"/>
            <w:tcMar>
              <w:top w:w="100" w:type="dxa"/>
              <w:bottom w:w="100" w:type="dxa"/>
              <w:left w:w="100" w:type="dxa"/>
              <w:right w:w="100" w:type="dxa"/>
            </w:tcMar>
          </w:tcPr>
          <w:p>
            <w:r>
              <w:rPr>
                <w:b/>
                <w:color w:val="FFFFFF"/>
              </w:rPr>
              <w:t>Service</w:t>
            </w:r>
          </w:p>
        </w:tc>
        <w:tc>
          <w:tcPr>
            <w:tcW w:type="dxa" w:w="3888"/>
            <w:shd w:val="clear" w:color="auto" w:fill="1A365D"/>
            <w:tcMar>
              <w:top w:w="100" w:type="dxa"/>
              <w:bottom w:w="100" w:type="dxa"/>
              <w:left w:w="100" w:type="dxa"/>
              <w:right w:w="100" w:type="dxa"/>
            </w:tcMar>
          </w:tcPr>
          <w:p>
            <w:r>
              <w:rPr>
                <w:b/>
                <w:color w:val="FFFFFF"/>
              </w:rPr>
              <w:t>Version</w:t>
            </w:r>
          </w:p>
        </w:tc>
        <w:tc>
          <w:tcPr>
            <w:tcW w:type="dxa" w:w="1440"/>
            <w:shd w:val="clear" w:color="auto" w:fill="1A365D"/>
            <w:tcMar>
              <w:top w:w="100" w:type="dxa"/>
              <w:bottom w:w="100" w:type="dxa"/>
              <w:left w:w="100" w:type="dxa"/>
              <w:right w:w="100" w:type="dxa"/>
            </w:tcMar>
          </w:tcPr>
          <w:p>
            <w:r>
              <w:rPr>
                <w:b/>
                <w:color w:val="FFFFFF"/>
              </w:rPr>
              <w:t>Status</w:t>
            </w:r>
          </w:p>
        </w:tc>
      </w:tr>
      <w:tr>
        <w:tc>
          <w:tcPr>
            <w:tcW w:type="dxa" w:w="1152"/>
            <w:shd w:val="clear" w:color="auto" w:fill="F7FAFC"/>
            <w:tcMar>
              <w:top w:w="100" w:type="dxa"/>
              <w:bottom w:w="100" w:type="dxa"/>
              <w:left w:w="100" w:type="dxa"/>
              <w:right w:w="100" w:type="dxa"/>
            </w:tcMar>
          </w:tcPr>
          <w:p>
            <w:r>
              <w:t>22</w:t>
            </w:r>
          </w:p>
        </w:tc>
        <w:tc>
          <w:tcPr>
            <w:tcW w:type="dxa" w:w="1440"/>
            <w:shd w:val="clear" w:color="auto" w:fill="F7FAFC"/>
            <w:tcMar>
              <w:top w:w="100" w:type="dxa"/>
              <w:bottom w:w="100" w:type="dxa"/>
              <w:left w:w="100" w:type="dxa"/>
              <w:right w:w="100" w:type="dxa"/>
            </w:tcMar>
          </w:tcPr>
          <w:p>
            <w:r>
              <w:t>TCP</w:t>
            </w:r>
          </w:p>
        </w:tc>
        <w:tc>
          <w:tcPr>
            <w:tcW w:type="dxa" w:w="1440"/>
            <w:shd w:val="clear" w:color="auto" w:fill="F7FAFC"/>
            <w:tcMar>
              <w:top w:w="100" w:type="dxa"/>
              <w:bottom w:w="100" w:type="dxa"/>
              <w:left w:w="100" w:type="dxa"/>
              <w:right w:w="100" w:type="dxa"/>
            </w:tcMar>
          </w:tcPr>
          <w:p>
            <w:r>
              <w:t>SSH</w:t>
            </w:r>
          </w:p>
        </w:tc>
        <w:tc>
          <w:tcPr>
            <w:tcW w:type="dxa" w:w="3888"/>
            <w:shd w:val="clear" w:color="auto" w:fill="F7FAFC"/>
            <w:tcMar>
              <w:top w:w="100" w:type="dxa"/>
              <w:bottom w:w="100" w:type="dxa"/>
              <w:left w:w="100" w:type="dxa"/>
              <w:right w:w="100" w:type="dxa"/>
            </w:tcMar>
          </w:tcPr>
          <w:p>
            <w:r>
              <w:t>OpenSSH 5.9p1 Debian 5ubuntu1.8</w:t>
            </w:r>
          </w:p>
        </w:tc>
        <w:tc>
          <w:tcPr>
            <w:tcW w:type="dxa" w:w="1440"/>
            <w:shd w:val="clear" w:color="auto" w:fill="F7FAFC"/>
            <w:tcMar>
              <w:top w:w="100" w:type="dxa"/>
              <w:bottom w:w="100" w:type="dxa"/>
              <w:left w:w="100" w:type="dxa"/>
              <w:right w:w="100" w:type="dxa"/>
            </w:tcMar>
          </w:tcPr>
          <w:p>
            <w:r>
              <w:t>Open</w:t>
            </w:r>
          </w:p>
        </w:tc>
      </w:tr>
      <w:tr>
        <w:tc>
          <w:tcPr>
            <w:tcW w:type="dxa" w:w="1152"/>
            <w:shd w:val="clear" w:color="auto" w:fill="EDF2F7"/>
            <w:tcMar>
              <w:top w:w="100" w:type="dxa"/>
              <w:bottom w:w="100" w:type="dxa"/>
              <w:left w:w="100" w:type="dxa"/>
              <w:right w:w="100" w:type="dxa"/>
            </w:tcMar>
          </w:tcPr>
          <w:p>
            <w:r>
              <w:t>80</w:t>
            </w:r>
          </w:p>
        </w:tc>
        <w:tc>
          <w:tcPr>
            <w:tcW w:type="dxa" w:w="1440"/>
            <w:shd w:val="clear" w:color="auto" w:fill="EDF2F7"/>
            <w:tcMar>
              <w:top w:w="100" w:type="dxa"/>
              <w:bottom w:w="100" w:type="dxa"/>
              <w:left w:w="100" w:type="dxa"/>
              <w:right w:w="100" w:type="dxa"/>
            </w:tcMar>
          </w:tcPr>
          <w:p>
            <w:r>
              <w:t>TCP</w:t>
            </w:r>
          </w:p>
        </w:tc>
        <w:tc>
          <w:tcPr>
            <w:tcW w:type="dxa" w:w="1440"/>
            <w:shd w:val="clear" w:color="auto" w:fill="EDF2F7"/>
            <w:tcMar>
              <w:top w:w="100" w:type="dxa"/>
              <w:bottom w:w="100" w:type="dxa"/>
              <w:left w:w="100" w:type="dxa"/>
              <w:right w:w="100" w:type="dxa"/>
            </w:tcMar>
          </w:tcPr>
          <w:p>
            <w:r>
              <w:t>HTTP</w:t>
            </w:r>
          </w:p>
        </w:tc>
        <w:tc>
          <w:tcPr>
            <w:tcW w:type="dxa" w:w="3888"/>
            <w:shd w:val="clear" w:color="auto" w:fill="EDF2F7"/>
            <w:tcMar>
              <w:top w:w="100" w:type="dxa"/>
              <w:bottom w:w="100" w:type="dxa"/>
              <w:left w:w="100" w:type="dxa"/>
              <w:right w:w="100" w:type="dxa"/>
            </w:tcMar>
          </w:tcPr>
          <w:p>
            <w:r>
              <w:t>lighttpd 1.4.28</w:t>
            </w:r>
          </w:p>
        </w:tc>
        <w:tc>
          <w:tcPr>
            <w:tcW w:type="dxa" w:w="1440"/>
            <w:shd w:val="clear" w:color="auto" w:fill="EDF2F7"/>
            <w:tcMar>
              <w:top w:w="100" w:type="dxa"/>
              <w:bottom w:w="100" w:type="dxa"/>
              <w:left w:w="100" w:type="dxa"/>
              <w:right w:w="100" w:type="dxa"/>
            </w:tcMar>
          </w:tcPr>
          <w:p>
            <w:r>
              <w:t>Open</w:t>
            </w:r>
          </w:p>
        </w:tc>
      </w:tr>
    </w:tbl>
    <w:p>
      <w:pPr>
        <w:spacing w:after="200"/>
      </w:pPr>
    </w:p>
    <w:p>
      <w:pPr>
        <w:keepNext/>
        <w:spacing w:before="360" w:after="120"/>
      </w:pPr>
      <w:r>
        <w:rPr>
          <w:rFonts w:ascii="Arial" w:hAnsi="Arial"/>
          <w:b/>
          <w:color w:val="1A365D"/>
          <w:sz w:val="28"/>
        </w:rPr>
        <w:t>3. Vulnerability Analysis &amp; Identification</w:t>
      </w:r>
    </w:p>
    <w:p>
      <w:r>
        <w:rPr>
          <w:b/>
        </w:rPr>
        <w:t>Unrestricted Upload of File with Dangerous Type (CWE-434 / Insecure Web DAV Options)</w:t>
        <w:br/>
      </w:r>
      <w:r>
        <w:t>The lighttpd 1.4.28 deployment exposes a testing directory (/test/) that allows directory listings and incorrectly implements unauthenticated HTTP WebDAV extensions. Specifically, the HTTP PUT method is active, enabling remote attackers to construct files directly inside the accessible directory without proper permission policies.</w:t>
      </w:r>
    </w:p>
    <w:p>
      <w:pPr>
        <w:spacing w:before="200" w:after="80"/>
        <w:jc w:val="center"/>
      </w:pPr>
      <w:r>
        <w:drawing>
          <wp:inline xmlns:a="http://schemas.openxmlformats.org/drawingml/2006/main" xmlns:pic="http://schemas.openxmlformats.org/drawingml/2006/picture">
            <wp:extent cx="5303520" cy="2708110"/>
            <wp:docPr id="3" name="Picture 3"/>
            <wp:cNvGraphicFramePr>
              <a:graphicFrameLocks noChangeAspect="1"/>
            </wp:cNvGraphicFramePr>
            <a:graphic>
              <a:graphicData uri="http://schemas.openxmlformats.org/drawingml/2006/picture">
                <pic:pic>
                  <pic:nvPicPr>
                    <pic:cNvPr id="0" name="a3f8aa7b-6b08-4600-812e-b011a2ef3e7f.jpeg"/>
                    <pic:cNvPicPr/>
                  </pic:nvPicPr>
                  <pic:blipFill>
                    <a:blip r:embed="rId11"/>
                    <a:stretch>
                      <a:fillRect/>
                    </a:stretch>
                  </pic:blipFill>
                  <pic:spPr>
                    <a:xfrm>
                      <a:off x="0" y="0"/>
                      <a:ext cx="5303520" cy="2708110"/>
                    </a:xfrm>
                    <a:prstGeom prst="rect"/>
                  </pic:spPr>
                </pic:pic>
              </a:graphicData>
            </a:graphic>
          </wp:inline>
        </w:drawing>
      </w:r>
    </w:p>
    <w:p>
      <w:pPr>
        <w:spacing w:after="280"/>
        <w:jc w:val="center"/>
      </w:pPr>
      <w:r>
        <w:rPr>
          <w:i/>
          <w:color w:val="5A6B7C"/>
          <w:sz w:val="18"/>
        </w:rPr>
        <w:t>Figure: Initial inspection of the exposed /test/ directory showing index visibility.</w:t>
      </w:r>
    </w:p>
    <w:p>
      <w:pPr>
        <w:keepNext/>
        <w:spacing w:before="360" w:after="120"/>
      </w:pPr>
      <w:r>
        <w:rPr>
          <w:rFonts w:ascii="Arial" w:hAnsi="Arial"/>
          <w:b/>
          <w:color w:val="1A365D"/>
          <w:sz w:val="28"/>
        </w:rPr>
        <w:t>4. Exploitation Phase (Proof of Concept)</w:t>
      </w:r>
    </w:p>
    <w:p>
      <w:r>
        <w:t>To exploit this vulnerability systematically, a standard standalone PHP reverse-shell deployment script was customized to route operational control streams back to the testing architecture on a privileged listening port (443).</w:t>
      </w:r>
    </w:p>
    <w:p>
      <w:pPr>
        <w:spacing w:before="200" w:after="80"/>
        <w:jc w:val="center"/>
      </w:pPr>
      <w:r>
        <w:drawing>
          <wp:inline xmlns:a="http://schemas.openxmlformats.org/drawingml/2006/main" xmlns:pic="http://schemas.openxmlformats.org/drawingml/2006/picture">
            <wp:extent cx="5303520" cy="2708110"/>
            <wp:docPr id="4" name="Picture 4"/>
            <wp:cNvGraphicFramePr>
              <a:graphicFrameLocks noChangeAspect="1"/>
            </wp:cNvGraphicFramePr>
            <a:graphic>
              <a:graphicData uri="http://schemas.openxmlformats.org/drawingml/2006/picture">
                <pic:pic>
                  <pic:nvPicPr>
                    <pic:cNvPr id="0" name="6cb1bcd2-bac1-4238-844d-af3a518c44f0.jpeg"/>
                    <pic:cNvPicPr/>
                  </pic:nvPicPr>
                  <pic:blipFill>
                    <a:blip r:embed="rId12"/>
                    <a:stretch>
                      <a:fillRect/>
                    </a:stretch>
                  </pic:blipFill>
                  <pic:spPr>
                    <a:xfrm>
                      <a:off x="0" y="0"/>
                      <a:ext cx="5303520" cy="2708110"/>
                    </a:xfrm>
                    <a:prstGeom prst="rect"/>
                  </pic:spPr>
                </pic:pic>
              </a:graphicData>
            </a:graphic>
          </wp:inline>
        </w:drawing>
      </w:r>
    </w:p>
    <w:p>
      <w:pPr>
        <w:spacing w:after="280"/>
        <w:jc w:val="center"/>
      </w:pPr>
      <w:r>
        <w:rPr>
          <w:i/>
          <w:color w:val="5A6B7C"/>
          <w:sz w:val="18"/>
        </w:rPr>
        <w:t>Figure: Modifying the PHP web shell parameters ($ip and $port) to line up connection states.</w:t>
      </w:r>
    </w:p>
    <w:p>
      <w:r>
        <w:t>The structured file was explicitly transferred using an unauthenticated HTTP PUT transaction via curl directly to the remote resource target directory.</w:t>
      </w:r>
    </w:p>
    <w:p>
      <w:pPr>
        <w:spacing w:before="200" w:after="80"/>
        <w:jc w:val="center"/>
      </w:pPr>
      <w:r>
        <w:drawing>
          <wp:inline xmlns:a="http://schemas.openxmlformats.org/drawingml/2006/main" xmlns:pic="http://schemas.openxmlformats.org/drawingml/2006/picture">
            <wp:extent cx="5303520" cy="2708110"/>
            <wp:docPr id="5" name="Picture 5"/>
            <wp:cNvGraphicFramePr>
              <a:graphicFrameLocks noChangeAspect="1"/>
            </wp:cNvGraphicFramePr>
            <a:graphic>
              <a:graphicData uri="http://schemas.openxmlformats.org/drawingml/2006/picture">
                <pic:pic>
                  <pic:nvPicPr>
                    <pic:cNvPr id="0" name="d67f40c8-af11-4017-a3f0-ac94acf0aa6a.jpeg"/>
                    <pic:cNvPicPr/>
                  </pic:nvPicPr>
                  <pic:blipFill>
                    <a:blip r:embed="rId13"/>
                    <a:stretch>
                      <a:fillRect/>
                    </a:stretch>
                  </pic:blipFill>
                  <pic:spPr>
                    <a:xfrm>
                      <a:off x="0" y="0"/>
                      <a:ext cx="5303520" cy="2708110"/>
                    </a:xfrm>
                    <a:prstGeom prst="rect"/>
                  </pic:spPr>
                </pic:pic>
              </a:graphicData>
            </a:graphic>
          </wp:inline>
        </w:drawing>
      </w:r>
    </w:p>
    <w:p>
      <w:pPr>
        <w:spacing w:after="280"/>
        <w:jc w:val="center"/>
      </w:pPr>
      <w:r>
        <w:rPr>
          <w:i/>
          <w:color w:val="5A6B7C"/>
          <w:sz w:val="18"/>
        </w:rPr>
        <w:t>Figure: HTTP PUT request execution via curl generating a 201 Created server confirmation.</w:t>
      </w:r>
    </w:p>
    <w:p>
      <w:r>
        <w:t>Following transmission, a validation pass over the testing directory index confirmed that the server accepted, saved, and prepared the script for direct server-side parsing execution.</w:t>
      </w:r>
    </w:p>
    <w:p>
      <w:pPr>
        <w:spacing w:before="200" w:after="80"/>
        <w:jc w:val="center"/>
      </w:pPr>
      <w:r>
        <w:drawing>
          <wp:inline xmlns:a="http://schemas.openxmlformats.org/drawingml/2006/main" xmlns:pic="http://schemas.openxmlformats.org/drawingml/2006/picture">
            <wp:extent cx="5303520" cy="2708110"/>
            <wp:docPr id="6" name="Picture 6"/>
            <wp:cNvGraphicFramePr>
              <a:graphicFrameLocks noChangeAspect="1"/>
            </wp:cNvGraphicFramePr>
            <a:graphic>
              <a:graphicData uri="http://schemas.openxmlformats.org/drawingml/2006/picture">
                <pic:pic>
                  <pic:nvPicPr>
                    <pic:cNvPr id="0" name="6476d278-9489-49b9-bc05-9fc3c6c57f1a.jpeg"/>
                    <pic:cNvPicPr/>
                  </pic:nvPicPr>
                  <pic:blipFill>
                    <a:blip r:embed="rId14"/>
                    <a:stretch>
                      <a:fillRect/>
                    </a:stretch>
                  </pic:blipFill>
                  <pic:spPr>
                    <a:xfrm>
                      <a:off x="0" y="0"/>
                      <a:ext cx="5303520" cy="2708110"/>
                    </a:xfrm>
                    <a:prstGeom prst="rect"/>
                  </pic:spPr>
                </pic:pic>
              </a:graphicData>
            </a:graphic>
          </wp:inline>
        </w:drawing>
      </w:r>
    </w:p>
    <w:p>
      <w:pPr>
        <w:spacing w:after="280"/>
        <w:jc w:val="center"/>
      </w:pPr>
      <w:r>
        <w:rPr>
          <w:i/>
          <w:color w:val="5A6B7C"/>
          <w:sz w:val="18"/>
        </w:rPr>
        <w:t>Figure: The directory listing updated with the target script ready for trigger activation.</w:t>
      </w:r>
    </w:p>
    <w:p>
      <w:r>
        <w:t>A local listener was successfully bound on the attacking terminal platform to catch the socket callback and spawn an operational low-privilege reverse terminal command layer.</w:t>
      </w:r>
    </w:p>
    <w:p>
      <w:pPr>
        <w:spacing w:before="200" w:after="80"/>
        <w:jc w:val="center"/>
      </w:pPr>
      <w:r>
        <w:drawing>
          <wp:inline xmlns:a="http://schemas.openxmlformats.org/drawingml/2006/main" xmlns:pic="http://schemas.openxmlformats.org/drawingml/2006/picture">
            <wp:extent cx="5303520" cy="2708110"/>
            <wp:docPr id="7" name="Picture 7"/>
            <wp:cNvGraphicFramePr>
              <a:graphicFrameLocks noChangeAspect="1"/>
            </wp:cNvGraphicFramePr>
            <a:graphic>
              <a:graphicData uri="http://schemas.openxmlformats.org/drawingml/2006/picture">
                <pic:pic>
                  <pic:nvPicPr>
                    <pic:cNvPr id="0" name="bd64a57e-dc78-4e5b-8265-2414e96392d2.jpeg"/>
                    <pic:cNvPicPr/>
                  </pic:nvPicPr>
                  <pic:blipFill>
                    <a:blip r:embed="rId15"/>
                    <a:stretch>
                      <a:fillRect/>
                    </a:stretch>
                  </pic:blipFill>
                  <pic:spPr>
                    <a:xfrm>
                      <a:off x="0" y="0"/>
                      <a:ext cx="5303520" cy="2708110"/>
                    </a:xfrm>
                    <a:prstGeom prst="rect"/>
                  </pic:spPr>
                </pic:pic>
              </a:graphicData>
            </a:graphic>
          </wp:inline>
        </w:drawing>
      </w:r>
    </w:p>
    <w:p>
      <w:pPr>
        <w:spacing w:after="280"/>
        <w:jc w:val="center"/>
      </w:pPr>
      <w:r>
        <w:rPr>
          <w:i/>
          <w:color w:val="5A6B7C"/>
          <w:sz w:val="18"/>
        </w:rPr>
        <w:t>Figure: Setting up netcat utilities on port 443 to receive incoming platform shell payloads.</w:t>
      </w:r>
    </w:p>
    <w:p>
      <w:pPr>
        <w:keepNext/>
        <w:spacing w:before="360" w:after="120"/>
      </w:pPr>
      <w:r>
        <w:rPr>
          <w:rFonts w:ascii="Arial" w:hAnsi="Arial"/>
          <w:b/>
          <w:color w:val="1A365D"/>
          <w:sz w:val="28"/>
        </w:rPr>
        <w:t>5. Remediation &amp; Recommendations</w:t>
      </w:r>
    </w:p>
    <w:p>
      <w:pPr>
        <w:pStyle w:val="ListBullet"/>
        <w:spacing w:after="80"/>
      </w:pPr>
      <w:r>
        <w:rPr>
          <w:b/>
          <w:color w:val="1A365D"/>
        </w:rPr>
        <w:t xml:space="preserve">Disable Destructive HTTP Verbs: </w:t>
      </w:r>
      <w:r>
        <w:t>Review and update lighttpd.conf to entirely disallow unauthenticated variants of unsafe actions (PUT, DELETE) across any accessible directory templates.</w:t>
      </w:r>
    </w:p>
    <w:p>
      <w:pPr>
        <w:pStyle w:val="ListBullet"/>
        <w:spacing w:after="80"/>
      </w:pPr>
      <w:r>
        <w:rPr>
          <w:b/>
          <w:color w:val="1A365D"/>
        </w:rPr>
        <w:t xml:space="preserve">Deactivate Web Directory Indexes: </w:t>
      </w:r>
      <w:r>
        <w:t>Turn off standard directory generation models completely (dir-listing.activate = 'disable') to shield structure visibility from threat automated scans.</w:t>
      </w:r>
    </w:p>
    <w:p>
      <w:pPr>
        <w:pStyle w:val="ListBullet"/>
        <w:spacing w:after="80"/>
      </w:pPr>
      <w:r>
        <w:rPr>
          <w:b/>
          <w:color w:val="1A365D"/>
        </w:rPr>
        <w:t xml:space="preserve">Enforce Strict Script Execution Controls: </w:t>
      </w:r>
      <w:r>
        <w:t>Explicitly configure file upload areas to completely remove executable scripts permissions. Ensure processing attributes execute uploaded files purely as static object storage blocks.</w:t>
      </w:r>
    </w:p>
    <w:p>
      <w:pPr>
        <w:pStyle w:val="ListBullet"/>
        <w:spacing w:after="80"/>
      </w:pPr>
      <w:r>
        <w:rPr>
          <w:b/>
          <w:color w:val="1A365D"/>
        </w:rPr>
        <w:t xml:space="preserve">Service Patch Lifecycle Updates: </w:t>
      </w:r>
      <w:r>
        <w:t>The current installation targets outdated lighttpd (1.4.28) and OpenSSH (5.9p1) infrastructure branches. Upgrade daemon structures immediately to stable enterprise versions to protect core assets.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2D3748"/>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 Id="rId10" Type="http://schemas.openxmlformats.org/officeDocument/2006/relationships/image" Target="media/image2.jpeg"/><Relationship Id="rId11" Type="http://schemas.openxmlformats.org/officeDocument/2006/relationships/image" Target="media/image3.jpeg"/><Relationship Id="rId12" Type="http://schemas.openxmlformats.org/officeDocument/2006/relationships/image" Target="media/image4.jpeg"/><Relationship Id="rId13" Type="http://schemas.openxmlformats.org/officeDocument/2006/relationships/image" Target="media/image5.jpeg"/><Relationship Id="rId14" Type="http://schemas.openxmlformats.org/officeDocument/2006/relationships/image" Target="media/image6.jpeg"/><Relationship Id="rId15" Type="http://schemas.openxmlformats.org/officeDocument/2006/relationships/image" Target="media/image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