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Statement of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member of the Java the Hut team agrees that the following distribution of work accurately depicts what each team member contributed to this project. The distribution was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Michaela was in charge of the ‘Create an Event’ activity, and in turn all of the activities that follow that page. She also was in charge of the creation of the powerpoint.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Tiffany was in charge of the ‘Home’ activity, the server and database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Nick created the app’s icon, as well as worked on the app navigation drawer.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Veronica was in charge of setting up the group’s Google Maps API key, and creating the ‘Map’ Activity. She also led the organization of the documents required for 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Although each member had assigned tasked, the group decided as a whole to try and collaborate as much as possible. This way each member had at least some contribution to every aspect of the app code, documentation, marketing and presentation.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