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BC9DE" w14:textId="77777777" w:rsidR="00677AD0" w:rsidRPr="00677AD0" w:rsidRDefault="00677AD0" w:rsidP="00677AD0">
      <w:pPr>
        <w:spacing w:line="480" w:lineRule="auto"/>
        <w:rPr>
          <w:b/>
          <w:bCs/>
          <w:sz w:val="50"/>
          <w:szCs w:val="50"/>
        </w:rPr>
      </w:pPr>
      <w:r w:rsidRPr="00677AD0">
        <w:rPr>
          <w:b/>
          <w:bCs/>
          <w:sz w:val="50"/>
          <w:szCs w:val="50"/>
        </w:rPr>
        <w:t>Industrial Safety Intelligence</w:t>
      </w:r>
    </w:p>
    <w:p w14:paraId="31F6A15E" w14:textId="4D9D4BDD" w:rsidR="00677AD0" w:rsidRPr="00677AD0" w:rsidRDefault="00677AD0" w:rsidP="00677AD0">
      <w:pPr>
        <w:spacing w:line="480" w:lineRule="auto"/>
        <w:rPr>
          <w:b/>
          <w:bCs/>
          <w:sz w:val="40"/>
          <w:szCs w:val="40"/>
        </w:rPr>
      </w:pPr>
      <w:r w:rsidRPr="00677AD0">
        <w:rPr>
          <w:b/>
          <w:bCs/>
          <w:sz w:val="40"/>
          <w:szCs w:val="40"/>
        </w:rPr>
        <w:t>Executive Summary – EHS Performance Review</w:t>
      </w:r>
    </w:p>
    <w:p w14:paraId="5D9962B9" w14:textId="77777777" w:rsidR="00677AD0" w:rsidRPr="00677AD0" w:rsidRDefault="00677AD0" w:rsidP="00677AD0">
      <w:pPr>
        <w:spacing w:line="480" w:lineRule="auto"/>
        <w:rPr>
          <w:b/>
          <w:bCs/>
          <w:sz w:val="30"/>
          <w:szCs w:val="30"/>
        </w:rPr>
      </w:pPr>
      <w:r w:rsidRPr="00677AD0">
        <w:rPr>
          <w:b/>
          <w:bCs/>
          <w:sz w:val="30"/>
          <w:szCs w:val="30"/>
        </w:rPr>
        <w:t>Business Context</w:t>
      </w:r>
    </w:p>
    <w:p w14:paraId="606D294C" w14:textId="77777777" w:rsidR="00677AD0" w:rsidRPr="00677AD0" w:rsidRDefault="00677AD0" w:rsidP="00677AD0">
      <w:pPr>
        <w:spacing w:line="480" w:lineRule="auto"/>
        <w:ind w:firstLine="720"/>
        <w:rPr>
          <w:sz w:val="24"/>
          <w:szCs w:val="24"/>
        </w:rPr>
      </w:pPr>
      <w:r w:rsidRPr="00677AD0">
        <w:rPr>
          <w:sz w:val="24"/>
          <w:szCs w:val="24"/>
        </w:rPr>
        <w:t xml:space="preserve">The organization recorded </w:t>
      </w:r>
      <w:r w:rsidRPr="00677AD0">
        <w:rPr>
          <w:b/>
          <w:bCs/>
          <w:sz w:val="24"/>
          <w:szCs w:val="24"/>
        </w:rPr>
        <w:t>200 workplace incidents</w:t>
      </w:r>
      <w:r w:rsidRPr="00677AD0">
        <w:rPr>
          <w:sz w:val="24"/>
          <w:szCs w:val="24"/>
        </w:rPr>
        <w:t xml:space="preserve">, including </w:t>
      </w:r>
      <w:r w:rsidRPr="00677AD0">
        <w:rPr>
          <w:b/>
          <w:bCs/>
          <w:sz w:val="24"/>
          <w:szCs w:val="24"/>
        </w:rPr>
        <w:t>156 lost-time injuries</w:t>
      </w:r>
      <w:r w:rsidRPr="00677AD0">
        <w:rPr>
          <w:sz w:val="24"/>
          <w:szCs w:val="24"/>
        </w:rPr>
        <w:t xml:space="preserve">, indicating a </w:t>
      </w:r>
      <w:r w:rsidRPr="00677AD0">
        <w:rPr>
          <w:b/>
          <w:bCs/>
          <w:sz w:val="24"/>
          <w:szCs w:val="24"/>
        </w:rPr>
        <w:t>material safety and operational risk</w:t>
      </w:r>
      <w:r w:rsidRPr="00677AD0">
        <w:rPr>
          <w:sz w:val="24"/>
          <w:szCs w:val="24"/>
        </w:rPr>
        <w:t xml:space="preserve"> across multiple sites and departments. While formal audit scores remain relatively strong (average </w:t>
      </w:r>
      <w:r w:rsidRPr="00677AD0">
        <w:rPr>
          <w:b/>
          <w:bCs/>
          <w:sz w:val="24"/>
          <w:szCs w:val="24"/>
        </w:rPr>
        <w:t>84/100</w:t>
      </w:r>
      <w:r w:rsidRPr="00677AD0">
        <w:rPr>
          <w:sz w:val="24"/>
          <w:szCs w:val="24"/>
        </w:rPr>
        <w:t>), frontline safety performance is not aligned with compliance results.</w:t>
      </w:r>
    </w:p>
    <w:p w14:paraId="56D63D7F" w14:textId="77777777" w:rsidR="00677AD0" w:rsidRPr="00677AD0" w:rsidRDefault="00677AD0" w:rsidP="00677AD0">
      <w:pPr>
        <w:spacing w:line="480" w:lineRule="auto"/>
        <w:rPr>
          <w:sz w:val="24"/>
          <w:szCs w:val="24"/>
        </w:rPr>
      </w:pPr>
      <w:r w:rsidRPr="00677AD0">
        <w:rPr>
          <w:sz w:val="24"/>
          <w:szCs w:val="24"/>
        </w:rPr>
        <w:t xml:space="preserve">The </w:t>
      </w:r>
      <w:r w:rsidRPr="00677AD0">
        <w:rPr>
          <w:b/>
          <w:bCs/>
          <w:sz w:val="24"/>
          <w:szCs w:val="24"/>
        </w:rPr>
        <w:t>Lost Time Injury Frequency Rate (LTIFR) of 12.25</w:t>
      </w:r>
      <w:r w:rsidRPr="00677AD0">
        <w:rPr>
          <w:sz w:val="24"/>
          <w:szCs w:val="24"/>
        </w:rPr>
        <w:t xml:space="preserve"> and an average </w:t>
      </w:r>
      <w:r w:rsidRPr="00677AD0">
        <w:rPr>
          <w:b/>
          <w:bCs/>
          <w:sz w:val="24"/>
          <w:szCs w:val="24"/>
        </w:rPr>
        <w:t>severity score of 2.28</w:t>
      </w:r>
      <w:r w:rsidRPr="00677AD0">
        <w:rPr>
          <w:sz w:val="24"/>
          <w:szCs w:val="24"/>
        </w:rPr>
        <w:t xml:space="preserve"> show that incidents are not only frequent, but increasingly severe — creating exposure to productivity loss, legal risk, and higher insurance and compensation costs.</w:t>
      </w:r>
    </w:p>
    <w:p w14:paraId="740218C2" w14:textId="334F14E3" w:rsidR="00677AD0" w:rsidRPr="00677AD0" w:rsidRDefault="00677AD0" w:rsidP="00677AD0"/>
    <w:p w14:paraId="0F7CD2B3" w14:textId="77777777" w:rsidR="00677AD0" w:rsidRPr="00677AD0" w:rsidRDefault="00677AD0" w:rsidP="00677AD0">
      <w:pPr>
        <w:rPr>
          <w:b/>
          <w:bCs/>
          <w:sz w:val="30"/>
          <w:szCs w:val="30"/>
        </w:rPr>
      </w:pPr>
      <w:r w:rsidRPr="00677AD0">
        <w:rPr>
          <w:b/>
          <w:bCs/>
          <w:sz w:val="30"/>
          <w:szCs w:val="30"/>
        </w:rPr>
        <w:t>Key Safety Indicators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977"/>
        <w:gridCol w:w="4039"/>
      </w:tblGrid>
      <w:tr w:rsidR="00677AD0" w:rsidRPr="00677AD0" w14:paraId="14D17A7B" w14:textId="77777777" w:rsidTr="00DD7248">
        <w:trPr>
          <w:jc w:val="center"/>
        </w:trPr>
        <w:tc>
          <w:tcPr>
            <w:tcW w:w="2760" w:type="pct"/>
            <w:hideMark/>
          </w:tcPr>
          <w:p w14:paraId="42ABD932" w14:textId="77777777" w:rsidR="00677AD0" w:rsidRPr="00677AD0" w:rsidRDefault="00677AD0" w:rsidP="00677AD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240" w:type="pct"/>
            <w:hideMark/>
          </w:tcPr>
          <w:p w14:paraId="55B82788" w14:textId="77777777" w:rsidR="00677AD0" w:rsidRPr="00677AD0" w:rsidRDefault="00677AD0" w:rsidP="00677AD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Current Value</w:t>
            </w:r>
          </w:p>
        </w:tc>
      </w:tr>
      <w:tr w:rsidR="00677AD0" w:rsidRPr="00677AD0" w14:paraId="0A8F0995" w14:textId="77777777" w:rsidTr="00DD7248">
        <w:trPr>
          <w:jc w:val="center"/>
        </w:trPr>
        <w:tc>
          <w:tcPr>
            <w:tcW w:w="2760" w:type="pct"/>
            <w:hideMark/>
          </w:tcPr>
          <w:p w14:paraId="43546DA4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Total Incidents</w:t>
            </w:r>
          </w:p>
        </w:tc>
        <w:tc>
          <w:tcPr>
            <w:tcW w:w="2240" w:type="pct"/>
            <w:hideMark/>
          </w:tcPr>
          <w:p w14:paraId="18FF05D2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200</w:t>
            </w:r>
          </w:p>
        </w:tc>
      </w:tr>
      <w:tr w:rsidR="00677AD0" w:rsidRPr="00677AD0" w14:paraId="79F6DE19" w14:textId="77777777" w:rsidTr="00DD7248">
        <w:trPr>
          <w:jc w:val="center"/>
        </w:trPr>
        <w:tc>
          <w:tcPr>
            <w:tcW w:w="2760" w:type="pct"/>
            <w:hideMark/>
          </w:tcPr>
          <w:p w14:paraId="2C6F46C3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Lost-Time Injuries</w:t>
            </w:r>
          </w:p>
        </w:tc>
        <w:tc>
          <w:tcPr>
            <w:tcW w:w="2240" w:type="pct"/>
            <w:hideMark/>
          </w:tcPr>
          <w:p w14:paraId="43FA7211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156</w:t>
            </w:r>
          </w:p>
        </w:tc>
      </w:tr>
      <w:tr w:rsidR="00677AD0" w:rsidRPr="00677AD0" w14:paraId="19DF118B" w14:textId="77777777" w:rsidTr="00DD7248">
        <w:trPr>
          <w:jc w:val="center"/>
        </w:trPr>
        <w:tc>
          <w:tcPr>
            <w:tcW w:w="2760" w:type="pct"/>
            <w:hideMark/>
          </w:tcPr>
          <w:p w14:paraId="0EB362D1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LTIFR</w:t>
            </w:r>
          </w:p>
        </w:tc>
        <w:tc>
          <w:tcPr>
            <w:tcW w:w="2240" w:type="pct"/>
            <w:hideMark/>
          </w:tcPr>
          <w:p w14:paraId="12E2979D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12.25</w:t>
            </w:r>
          </w:p>
        </w:tc>
      </w:tr>
      <w:tr w:rsidR="00677AD0" w:rsidRPr="00677AD0" w14:paraId="50836469" w14:textId="77777777" w:rsidTr="00DD7248">
        <w:trPr>
          <w:jc w:val="center"/>
        </w:trPr>
        <w:tc>
          <w:tcPr>
            <w:tcW w:w="2760" w:type="pct"/>
            <w:hideMark/>
          </w:tcPr>
          <w:p w14:paraId="1DB0BB1E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Average Severity Score</w:t>
            </w:r>
          </w:p>
        </w:tc>
        <w:tc>
          <w:tcPr>
            <w:tcW w:w="2240" w:type="pct"/>
            <w:hideMark/>
          </w:tcPr>
          <w:p w14:paraId="20073B87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2.28</w:t>
            </w:r>
          </w:p>
        </w:tc>
      </w:tr>
      <w:tr w:rsidR="00677AD0" w:rsidRPr="00677AD0" w14:paraId="09D9C9DB" w14:textId="77777777" w:rsidTr="00DD7248">
        <w:trPr>
          <w:jc w:val="center"/>
        </w:trPr>
        <w:tc>
          <w:tcPr>
            <w:tcW w:w="2760" w:type="pct"/>
            <w:hideMark/>
          </w:tcPr>
          <w:p w14:paraId="5BAFFD17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Near-Miss Ratio</w:t>
            </w:r>
          </w:p>
        </w:tc>
        <w:tc>
          <w:tcPr>
            <w:tcW w:w="2240" w:type="pct"/>
            <w:hideMark/>
          </w:tcPr>
          <w:p w14:paraId="098D393F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0.43</w:t>
            </w:r>
          </w:p>
        </w:tc>
      </w:tr>
      <w:tr w:rsidR="00677AD0" w:rsidRPr="00677AD0" w14:paraId="12314873" w14:textId="77777777" w:rsidTr="00DD7248">
        <w:trPr>
          <w:jc w:val="center"/>
        </w:trPr>
        <w:tc>
          <w:tcPr>
            <w:tcW w:w="2760" w:type="pct"/>
            <w:hideMark/>
          </w:tcPr>
          <w:p w14:paraId="0321913B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lastRenderedPageBreak/>
              <w:t>Training Completion</w:t>
            </w:r>
          </w:p>
        </w:tc>
        <w:tc>
          <w:tcPr>
            <w:tcW w:w="2240" w:type="pct"/>
            <w:hideMark/>
          </w:tcPr>
          <w:p w14:paraId="39CD4087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41%</w:t>
            </w:r>
          </w:p>
        </w:tc>
      </w:tr>
      <w:tr w:rsidR="00677AD0" w:rsidRPr="00677AD0" w14:paraId="64AF6EC9" w14:textId="77777777" w:rsidTr="00DD7248">
        <w:trPr>
          <w:jc w:val="center"/>
        </w:trPr>
        <w:tc>
          <w:tcPr>
            <w:tcW w:w="2760" w:type="pct"/>
            <w:hideMark/>
          </w:tcPr>
          <w:p w14:paraId="07B52040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Non-Compliances</w:t>
            </w:r>
          </w:p>
        </w:tc>
        <w:tc>
          <w:tcPr>
            <w:tcW w:w="2240" w:type="pct"/>
            <w:hideMark/>
          </w:tcPr>
          <w:p w14:paraId="4AA2DAC4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120</w:t>
            </w:r>
          </w:p>
        </w:tc>
      </w:tr>
      <w:tr w:rsidR="00677AD0" w:rsidRPr="00677AD0" w14:paraId="3C3394F4" w14:textId="77777777" w:rsidTr="00DD7248">
        <w:trPr>
          <w:jc w:val="center"/>
        </w:trPr>
        <w:tc>
          <w:tcPr>
            <w:tcW w:w="2760" w:type="pct"/>
            <w:hideMark/>
          </w:tcPr>
          <w:p w14:paraId="393A1034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Follow-Up Closure Rate</w:t>
            </w:r>
          </w:p>
        </w:tc>
        <w:tc>
          <w:tcPr>
            <w:tcW w:w="2240" w:type="pct"/>
            <w:hideMark/>
          </w:tcPr>
          <w:p w14:paraId="038C660C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78%</w:t>
            </w:r>
          </w:p>
        </w:tc>
      </w:tr>
      <w:tr w:rsidR="00677AD0" w:rsidRPr="00677AD0" w14:paraId="72B1F40A" w14:textId="77777777" w:rsidTr="00DD7248">
        <w:trPr>
          <w:jc w:val="center"/>
        </w:trPr>
        <w:tc>
          <w:tcPr>
            <w:tcW w:w="2760" w:type="pct"/>
            <w:hideMark/>
          </w:tcPr>
          <w:p w14:paraId="21E63021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sz w:val="24"/>
                <w:szCs w:val="24"/>
              </w:rPr>
              <w:t>Average Audit Score</w:t>
            </w:r>
          </w:p>
        </w:tc>
        <w:tc>
          <w:tcPr>
            <w:tcW w:w="2240" w:type="pct"/>
            <w:hideMark/>
          </w:tcPr>
          <w:p w14:paraId="16D13383" w14:textId="77777777" w:rsidR="00677AD0" w:rsidRPr="00677AD0" w:rsidRDefault="00677AD0" w:rsidP="00677AD0">
            <w:pPr>
              <w:spacing w:after="160" w:line="480" w:lineRule="auto"/>
              <w:rPr>
                <w:sz w:val="24"/>
                <w:szCs w:val="24"/>
              </w:rPr>
            </w:pPr>
            <w:r w:rsidRPr="00677AD0">
              <w:rPr>
                <w:b/>
                <w:bCs/>
                <w:sz w:val="24"/>
                <w:szCs w:val="24"/>
              </w:rPr>
              <w:t>84 / 100</w:t>
            </w:r>
          </w:p>
        </w:tc>
      </w:tr>
    </w:tbl>
    <w:p w14:paraId="2FEC2077" w14:textId="7BE1157D" w:rsidR="00677AD0" w:rsidRPr="00677AD0" w:rsidRDefault="00677AD0" w:rsidP="00677AD0">
      <w:pPr>
        <w:spacing w:line="480" w:lineRule="auto"/>
      </w:pPr>
    </w:p>
    <w:p w14:paraId="10A64063" w14:textId="77777777" w:rsidR="00677AD0" w:rsidRPr="00677AD0" w:rsidRDefault="00677AD0" w:rsidP="00677AD0">
      <w:pPr>
        <w:spacing w:line="480" w:lineRule="auto"/>
        <w:rPr>
          <w:b/>
          <w:bCs/>
          <w:sz w:val="30"/>
          <w:szCs w:val="30"/>
        </w:rPr>
      </w:pPr>
      <w:r w:rsidRPr="00677AD0">
        <w:rPr>
          <w:b/>
          <w:bCs/>
          <w:sz w:val="30"/>
          <w:szCs w:val="30"/>
        </w:rPr>
        <w:t>Risk Interpretation</w:t>
      </w:r>
    </w:p>
    <w:p w14:paraId="5500D08F" w14:textId="1E02CC95" w:rsidR="00677AD0" w:rsidRPr="00677AD0" w:rsidRDefault="00677AD0" w:rsidP="00677AD0">
      <w:pPr>
        <w:spacing w:line="480" w:lineRule="auto"/>
        <w:ind w:firstLine="720"/>
        <w:rPr>
          <w:sz w:val="24"/>
          <w:szCs w:val="24"/>
        </w:rPr>
      </w:pPr>
      <w:r w:rsidRPr="00677AD0">
        <w:rPr>
          <w:sz w:val="24"/>
          <w:szCs w:val="24"/>
        </w:rPr>
        <w:t xml:space="preserve">More than </w:t>
      </w:r>
      <w:r w:rsidRPr="00677AD0">
        <w:rPr>
          <w:b/>
          <w:bCs/>
          <w:sz w:val="24"/>
          <w:szCs w:val="24"/>
        </w:rPr>
        <w:t>54% of all incidents are high-severity</w:t>
      </w:r>
      <w:r w:rsidRPr="00677AD0">
        <w:rPr>
          <w:sz w:val="24"/>
          <w:szCs w:val="24"/>
        </w:rPr>
        <w:t>, meaning injuries are more likely to result in lost workdays, medical treatment, or long-term health impact.</w:t>
      </w:r>
      <w:r w:rsidR="00A44058" w:rsidRPr="00A44058">
        <w:t xml:space="preserve"> </w:t>
      </w:r>
      <w:r w:rsidR="00A44058" w:rsidRPr="00A44058">
        <w:rPr>
          <w:sz w:val="24"/>
          <w:szCs w:val="24"/>
        </w:rPr>
        <w:t>The critically low Near-Miss Ratio (0.43) suggests a culture of under-reporting; hazards are likely only being captured once an injury occurs, missing opportunities for proactive prevention.</w:t>
      </w:r>
      <w:r w:rsidR="00A44058">
        <w:rPr>
          <w:sz w:val="24"/>
          <w:szCs w:val="24"/>
        </w:rPr>
        <w:t xml:space="preserve"> </w:t>
      </w:r>
    </w:p>
    <w:p w14:paraId="1B4DD970" w14:textId="77777777" w:rsidR="00677AD0" w:rsidRPr="00677AD0" w:rsidRDefault="00677AD0" w:rsidP="00677AD0">
      <w:pPr>
        <w:spacing w:line="480" w:lineRule="auto"/>
        <w:ind w:firstLine="720"/>
      </w:pPr>
      <w:r w:rsidRPr="00677AD0">
        <w:rPr>
          <w:sz w:val="24"/>
          <w:szCs w:val="24"/>
        </w:rPr>
        <w:t xml:space="preserve">The </w:t>
      </w:r>
      <w:r w:rsidRPr="00677AD0">
        <w:rPr>
          <w:b/>
          <w:bCs/>
          <w:sz w:val="24"/>
          <w:szCs w:val="24"/>
        </w:rPr>
        <w:t>Production department</w:t>
      </w:r>
      <w:r w:rsidRPr="00677AD0">
        <w:rPr>
          <w:sz w:val="24"/>
          <w:szCs w:val="24"/>
        </w:rPr>
        <w:t xml:space="preserve"> contributes the largest share of </w:t>
      </w:r>
      <w:r w:rsidRPr="00677AD0">
        <w:rPr>
          <w:b/>
          <w:bCs/>
          <w:sz w:val="24"/>
          <w:szCs w:val="24"/>
        </w:rPr>
        <w:t>incident volume and lost time</w:t>
      </w:r>
      <w:r w:rsidRPr="00677AD0">
        <w:rPr>
          <w:sz w:val="24"/>
          <w:szCs w:val="24"/>
        </w:rPr>
        <w:t xml:space="preserve">, with </w:t>
      </w:r>
      <w:r w:rsidRPr="00677AD0">
        <w:rPr>
          <w:b/>
          <w:bCs/>
          <w:sz w:val="24"/>
          <w:szCs w:val="24"/>
        </w:rPr>
        <w:t>Plant A</w:t>
      </w:r>
      <w:r w:rsidRPr="00677AD0">
        <w:rPr>
          <w:sz w:val="24"/>
          <w:szCs w:val="24"/>
        </w:rPr>
        <w:t xml:space="preserve"> emerging as the highest overall risk location despite relatively strong audit performance. This indicates that </w:t>
      </w:r>
      <w:r w:rsidRPr="00677AD0">
        <w:rPr>
          <w:b/>
          <w:bCs/>
          <w:sz w:val="24"/>
          <w:szCs w:val="24"/>
        </w:rPr>
        <w:t xml:space="preserve">formal compliance is not translating into safe </w:t>
      </w:r>
      <w:proofErr w:type="spellStart"/>
      <w:r w:rsidRPr="00677AD0">
        <w:rPr>
          <w:b/>
          <w:bCs/>
          <w:sz w:val="24"/>
          <w:szCs w:val="24"/>
        </w:rPr>
        <w:t>behavior</w:t>
      </w:r>
      <w:proofErr w:type="spellEnd"/>
      <w:r w:rsidRPr="00677AD0">
        <w:rPr>
          <w:b/>
          <w:bCs/>
          <w:sz w:val="24"/>
          <w:szCs w:val="24"/>
        </w:rPr>
        <w:t xml:space="preserve"> on the shop floor</w:t>
      </w:r>
      <w:r w:rsidRPr="00677AD0">
        <w:rPr>
          <w:sz w:val="24"/>
          <w:szCs w:val="24"/>
        </w:rPr>
        <w:t>.</w:t>
      </w:r>
    </w:p>
    <w:p w14:paraId="149B6F36" w14:textId="05025220" w:rsidR="00677AD0" w:rsidRPr="00677AD0" w:rsidRDefault="00677AD0" w:rsidP="00677AD0">
      <w:pPr>
        <w:spacing w:line="480" w:lineRule="auto"/>
      </w:pPr>
    </w:p>
    <w:p w14:paraId="2A063612" w14:textId="77777777" w:rsidR="00677AD0" w:rsidRPr="00677AD0" w:rsidRDefault="00677AD0" w:rsidP="00677AD0">
      <w:pPr>
        <w:spacing w:line="480" w:lineRule="auto"/>
        <w:rPr>
          <w:b/>
          <w:bCs/>
          <w:sz w:val="30"/>
          <w:szCs w:val="30"/>
        </w:rPr>
      </w:pPr>
      <w:r w:rsidRPr="00677AD0">
        <w:rPr>
          <w:b/>
          <w:bCs/>
          <w:sz w:val="30"/>
          <w:szCs w:val="30"/>
        </w:rPr>
        <w:t>Primary Drivers of Risk</w:t>
      </w:r>
    </w:p>
    <w:p w14:paraId="4B552702" w14:textId="77777777" w:rsidR="00677AD0" w:rsidRPr="00677AD0" w:rsidRDefault="00677AD0" w:rsidP="00677AD0">
      <w:pPr>
        <w:spacing w:line="480" w:lineRule="auto"/>
        <w:rPr>
          <w:sz w:val="24"/>
          <w:szCs w:val="24"/>
        </w:rPr>
      </w:pPr>
      <w:r w:rsidRPr="00677AD0">
        <w:rPr>
          <w:sz w:val="24"/>
          <w:szCs w:val="24"/>
        </w:rPr>
        <w:t xml:space="preserve">The leading causes of incidents are operational and </w:t>
      </w:r>
      <w:proofErr w:type="spellStart"/>
      <w:r w:rsidRPr="00677AD0">
        <w:rPr>
          <w:sz w:val="24"/>
          <w:szCs w:val="24"/>
        </w:rPr>
        <w:t>behavioral</w:t>
      </w:r>
      <w:proofErr w:type="spellEnd"/>
      <w:r w:rsidRPr="00677AD0">
        <w:rPr>
          <w:sz w:val="24"/>
          <w:szCs w:val="24"/>
        </w:rPr>
        <w:t xml:space="preserve"> in nature:</w:t>
      </w:r>
    </w:p>
    <w:p w14:paraId="1CC642BB" w14:textId="77777777" w:rsidR="00677AD0" w:rsidRPr="00677AD0" w:rsidRDefault="00677AD0" w:rsidP="00677AD0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Unsafe lifting</w:t>
      </w:r>
    </w:p>
    <w:p w14:paraId="7CFAD2F3" w14:textId="77777777" w:rsidR="00677AD0" w:rsidRPr="00677AD0" w:rsidRDefault="00677AD0" w:rsidP="00677AD0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Missing machine guards</w:t>
      </w:r>
    </w:p>
    <w:p w14:paraId="3D7BBE5F" w14:textId="77777777" w:rsidR="00677AD0" w:rsidRPr="00677AD0" w:rsidRDefault="00677AD0" w:rsidP="00677AD0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lastRenderedPageBreak/>
        <w:t>Wet or slippery floors</w:t>
      </w:r>
    </w:p>
    <w:p w14:paraId="4F43135C" w14:textId="77777777" w:rsidR="00677AD0" w:rsidRPr="00677AD0" w:rsidRDefault="00677AD0" w:rsidP="00677AD0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Failure to wear PPE</w:t>
      </w:r>
    </w:p>
    <w:p w14:paraId="55989EA8" w14:textId="2698A778" w:rsidR="00677AD0" w:rsidRPr="00677AD0" w:rsidRDefault="00677AD0" w:rsidP="00677AD0">
      <w:pPr>
        <w:spacing w:line="480" w:lineRule="auto"/>
        <w:rPr>
          <w:sz w:val="24"/>
          <w:szCs w:val="24"/>
        </w:rPr>
      </w:pPr>
      <w:r w:rsidRPr="00677AD0">
        <w:rPr>
          <w:sz w:val="24"/>
          <w:szCs w:val="24"/>
        </w:rPr>
        <w:t>These factors explain why serious injuries continue even when audit scores are high.</w:t>
      </w:r>
    </w:p>
    <w:p w14:paraId="5B0B8106" w14:textId="77777777" w:rsidR="00677AD0" w:rsidRPr="00677AD0" w:rsidRDefault="00677AD0" w:rsidP="00677AD0">
      <w:pPr>
        <w:spacing w:line="480" w:lineRule="auto"/>
        <w:rPr>
          <w:b/>
          <w:bCs/>
          <w:sz w:val="30"/>
          <w:szCs w:val="30"/>
        </w:rPr>
      </w:pPr>
      <w:r w:rsidRPr="00677AD0">
        <w:rPr>
          <w:b/>
          <w:bCs/>
          <w:sz w:val="30"/>
          <w:szCs w:val="30"/>
        </w:rPr>
        <w:t>Training &amp; Compliance Gap</w:t>
      </w:r>
    </w:p>
    <w:p w14:paraId="6361B5E5" w14:textId="43ABB841" w:rsidR="00677AD0" w:rsidRPr="00677AD0" w:rsidRDefault="00677AD0" w:rsidP="00677AD0">
      <w:pPr>
        <w:spacing w:line="480" w:lineRule="auto"/>
        <w:ind w:firstLine="720"/>
        <w:rPr>
          <w:sz w:val="24"/>
          <w:szCs w:val="24"/>
        </w:rPr>
      </w:pPr>
      <w:r w:rsidRPr="00677AD0">
        <w:rPr>
          <w:sz w:val="24"/>
          <w:szCs w:val="24"/>
        </w:rPr>
        <w:t xml:space="preserve">Only </w:t>
      </w:r>
      <w:r w:rsidRPr="00677AD0">
        <w:rPr>
          <w:b/>
          <w:bCs/>
          <w:sz w:val="24"/>
          <w:szCs w:val="24"/>
        </w:rPr>
        <w:t>41% of employees currently hold valid safety training</w:t>
      </w:r>
      <w:r w:rsidRPr="00677AD0">
        <w:rPr>
          <w:sz w:val="24"/>
          <w:szCs w:val="24"/>
        </w:rPr>
        <w:t xml:space="preserve">, and a </w:t>
      </w:r>
      <w:r w:rsidR="004F03B1" w:rsidRPr="004F03B1">
        <w:rPr>
          <w:sz w:val="24"/>
          <w:szCs w:val="24"/>
        </w:rPr>
        <w:t xml:space="preserve">Data </w:t>
      </w:r>
      <w:proofErr w:type="spellStart"/>
      <w:r w:rsidR="004F03B1" w:rsidRPr="004F03B1">
        <w:rPr>
          <w:sz w:val="24"/>
          <w:szCs w:val="24"/>
        </w:rPr>
        <w:t>modeling</w:t>
      </w:r>
      <w:proofErr w:type="spellEnd"/>
      <w:r w:rsidR="004F03B1" w:rsidRPr="004F03B1">
        <w:rPr>
          <w:sz w:val="24"/>
          <w:szCs w:val="24"/>
        </w:rPr>
        <w:t xml:space="preserve"> indicates a 'Training Cliff' in Q3/Q4, where certificate expiry will exceed renewal rates, potentially increasing incident frequency if not addressed immediately</w:t>
      </w:r>
      <w:r w:rsidRPr="00677AD0">
        <w:rPr>
          <w:sz w:val="24"/>
          <w:szCs w:val="24"/>
        </w:rPr>
        <w:t>.</w:t>
      </w:r>
      <w:r w:rsidR="004F03B1">
        <w:rPr>
          <w:sz w:val="24"/>
          <w:szCs w:val="24"/>
        </w:rPr>
        <w:t xml:space="preserve"> </w:t>
      </w:r>
    </w:p>
    <w:p w14:paraId="368BEF8E" w14:textId="77777777" w:rsidR="00677AD0" w:rsidRPr="00677AD0" w:rsidRDefault="00677AD0" w:rsidP="00677AD0">
      <w:pPr>
        <w:spacing w:line="480" w:lineRule="auto"/>
        <w:ind w:firstLine="720"/>
        <w:rPr>
          <w:sz w:val="24"/>
          <w:szCs w:val="24"/>
        </w:rPr>
      </w:pPr>
      <w:r w:rsidRPr="00677AD0">
        <w:rPr>
          <w:sz w:val="24"/>
          <w:szCs w:val="24"/>
        </w:rPr>
        <w:t>This means a large portion of the workforce is operating without up-to-date authorization for high-risk tasks — a direct contributor to both injuries and non-compliance findings.</w:t>
      </w:r>
    </w:p>
    <w:p w14:paraId="3171DA80" w14:textId="5EB32452" w:rsidR="00677AD0" w:rsidRPr="00677AD0" w:rsidRDefault="00677AD0" w:rsidP="00677AD0">
      <w:pPr>
        <w:spacing w:line="480" w:lineRule="auto"/>
      </w:pPr>
    </w:p>
    <w:p w14:paraId="77D83803" w14:textId="77777777" w:rsidR="00677AD0" w:rsidRPr="00677AD0" w:rsidRDefault="00677AD0" w:rsidP="00677AD0">
      <w:pPr>
        <w:spacing w:line="480" w:lineRule="auto"/>
        <w:rPr>
          <w:b/>
          <w:bCs/>
          <w:sz w:val="30"/>
          <w:szCs w:val="30"/>
        </w:rPr>
      </w:pPr>
      <w:r w:rsidRPr="00677AD0">
        <w:rPr>
          <w:b/>
          <w:bCs/>
          <w:sz w:val="30"/>
          <w:szCs w:val="30"/>
        </w:rPr>
        <w:t>Management-Level Recommendations</w:t>
      </w:r>
    </w:p>
    <w:p w14:paraId="3CE9D149" w14:textId="77777777" w:rsidR="00677AD0" w:rsidRPr="00677AD0" w:rsidRDefault="00677AD0" w:rsidP="00677AD0">
      <w:pPr>
        <w:spacing w:line="480" w:lineRule="auto"/>
        <w:rPr>
          <w:sz w:val="24"/>
          <w:szCs w:val="24"/>
        </w:rPr>
      </w:pPr>
      <w:r w:rsidRPr="00677AD0">
        <w:rPr>
          <w:sz w:val="24"/>
          <w:szCs w:val="24"/>
        </w:rPr>
        <w:t>To reduce injury risk and financial exposure, leadership should prioritize:</w:t>
      </w:r>
    </w:p>
    <w:p w14:paraId="710EC3A5" w14:textId="77777777" w:rsidR="00677AD0" w:rsidRPr="00677AD0" w:rsidRDefault="00677AD0" w:rsidP="00677AD0">
      <w:pPr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Targeted safety intervention in Production at Plant A</w:t>
      </w:r>
    </w:p>
    <w:p w14:paraId="5E7480E2" w14:textId="77777777" w:rsidR="00677AD0" w:rsidRPr="00677AD0" w:rsidRDefault="00677AD0" w:rsidP="00677AD0">
      <w:pPr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Mandatory training completion before high-risk work</w:t>
      </w:r>
    </w:p>
    <w:p w14:paraId="36814654" w14:textId="77777777" w:rsidR="00677AD0" w:rsidRPr="00677AD0" w:rsidRDefault="00677AD0" w:rsidP="00677AD0">
      <w:pPr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Stronger enforcement of PPE and machine guarding</w:t>
      </w:r>
    </w:p>
    <w:p w14:paraId="1873D165" w14:textId="77777777" w:rsidR="00677AD0" w:rsidRPr="00677AD0" w:rsidRDefault="00677AD0" w:rsidP="00677AD0">
      <w:pPr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Focused audits on unsafe lifting and housekeeping</w:t>
      </w:r>
    </w:p>
    <w:p w14:paraId="2E34D11B" w14:textId="77777777" w:rsidR="00677AD0" w:rsidRPr="00677AD0" w:rsidRDefault="00677AD0" w:rsidP="00677AD0">
      <w:pPr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677AD0">
        <w:rPr>
          <w:b/>
          <w:bCs/>
          <w:sz w:val="24"/>
          <w:szCs w:val="24"/>
        </w:rPr>
        <w:t>Active tracking of training expiry and near-miss trends</w:t>
      </w:r>
    </w:p>
    <w:p w14:paraId="3B46C23D" w14:textId="1985402C" w:rsidR="00677AD0" w:rsidRPr="00677AD0" w:rsidRDefault="00677AD0" w:rsidP="00677AD0">
      <w:pPr>
        <w:spacing w:line="480" w:lineRule="auto"/>
      </w:pPr>
    </w:p>
    <w:p w14:paraId="2496784D" w14:textId="77777777" w:rsidR="00677AD0" w:rsidRPr="00677AD0" w:rsidRDefault="00677AD0" w:rsidP="00677AD0">
      <w:pPr>
        <w:spacing w:line="480" w:lineRule="auto"/>
        <w:rPr>
          <w:b/>
          <w:bCs/>
          <w:sz w:val="30"/>
          <w:szCs w:val="30"/>
        </w:rPr>
      </w:pPr>
      <w:r w:rsidRPr="00677AD0">
        <w:rPr>
          <w:b/>
          <w:bCs/>
          <w:sz w:val="30"/>
          <w:szCs w:val="30"/>
        </w:rPr>
        <w:lastRenderedPageBreak/>
        <w:t>Conclusion</w:t>
      </w:r>
    </w:p>
    <w:p w14:paraId="14DE8EEA" w14:textId="22C197C0" w:rsidR="00530321" w:rsidRPr="00677AD0" w:rsidRDefault="00677AD0" w:rsidP="00677AD0">
      <w:pPr>
        <w:spacing w:line="480" w:lineRule="auto"/>
        <w:ind w:firstLine="720"/>
        <w:rPr>
          <w:sz w:val="24"/>
          <w:szCs w:val="24"/>
        </w:rPr>
      </w:pPr>
      <w:r w:rsidRPr="00677AD0">
        <w:rPr>
          <w:sz w:val="24"/>
          <w:szCs w:val="24"/>
        </w:rPr>
        <w:t xml:space="preserve">The organization’s current risk profile is not driven by lack of policy, but by </w:t>
      </w:r>
      <w:r w:rsidRPr="00677AD0">
        <w:rPr>
          <w:b/>
          <w:bCs/>
          <w:sz w:val="24"/>
          <w:szCs w:val="24"/>
        </w:rPr>
        <w:t>gaps between compliance and frontline execution</w:t>
      </w:r>
      <w:r w:rsidRPr="00677AD0">
        <w:rPr>
          <w:sz w:val="24"/>
          <w:szCs w:val="24"/>
        </w:rPr>
        <w:t>.</w:t>
      </w:r>
      <w:r w:rsidRPr="00677AD0">
        <w:rPr>
          <w:sz w:val="24"/>
          <w:szCs w:val="24"/>
        </w:rPr>
        <w:br/>
        <w:t xml:space="preserve">By integrating audit, training, and incident data into a single risk view, management can shift from reactive reporting to </w:t>
      </w:r>
      <w:r w:rsidRPr="00677AD0">
        <w:rPr>
          <w:b/>
          <w:bCs/>
          <w:sz w:val="24"/>
          <w:szCs w:val="24"/>
        </w:rPr>
        <w:t>proactive accident prevention</w:t>
      </w:r>
      <w:r w:rsidRPr="00677AD0">
        <w:rPr>
          <w:sz w:val="24"/>
          <w:szCs w:val="24"/>
        </w:rPr>
        <w:t>.</w:t>
      </w:r>
    </w:p>
    <w:sectPr w:rsidR="00530321" w:rsidRPr="00677AD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CF0CA" w14:textId="77777777" w:rsidR="005D1A18" w:rsidRDefault="005D1A18" w:rsidP="001E5F42">
      <w:pPr>
        <w:spacing w:after="0" w:line="240" w:lineRule="auto"/>
      </w:pPr>
      <w:r>
        <w:separator/>
      </w:r>
    </w:p>
  </w:endnote>
  <w:endnote w:type="continuationSeparator" w:id="0">
    <w:p w14:paraId="331B763D" w14:textId="77777777" w:rsidR="005D1A18" w:rsidRDefault="005D1A18" w:rsidP="001E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A4895" w14:textId="14A9CF08" w:rsidR="005038F3" w:rsidRDefault="005038F3" w:rsidP="005038F3">
    <w:pPr>
      <w:pStyle w:val="Header"/>
    </w:pPr>
    <w:r>
      <w:rPr>
        <w:b/>
        <w:bCs/>
      </w:rPr>
      <w:t>Built with:</w:t>
    </w:r>
    <w:r>
      <w:t xml:space="preserve"> Power BI Desktop | </w:t>
    </w:r>
    <w:r>
      <w:rPr>
        <w:b/>
        <w:bCs/>
      </w:rPr>
      <w:t>Data Source:</w:t>
    </w:r>
    <w:r>
      <w:t xml:space="preserve"> Excel | </w:t>
    </w:r>
    <w:proofErr w:type="spellStart"/>
    <w:r>
      <w:rPr>
        <w:b/>
        <w:bCs/>
      </w:rPr>
      <w:t>Modeling</w:t>
    </w:r>
    <w:proofErr w:type="spellEnd"/>
    <w:r>
      <w:rPr>
        <w:b/>
        <w:bCs/>
      </w:rPr>
      <w:t>:</w:t>
    </w:r>
    <w:r>
      <w:t xml:space="preserve"> Star Schema with 3 Fact Tables | </w:t>
    </w:r>
    <w:r>
      <w:rPr>
        <w:b/>
        <w:bCs/>
      </w:rPr>
      <w:t>Key Techniques:</w:t>
    </w:r>
    <w:r>
      <w:t xml:space="preserve"> DAX Time Intelligence, Forecast Modelling, and Cross-Report Drill-through.</w:t>
    </w:r>
  </w:p>
  <w:p w14:paraId="06895EDB" w14:textId="164FF655" w:rsidR="008B6732" w:rsidRDefault="008B6732">
    <w:pPr>
      <w:pStyle w:val="Footer"/>
    </w:pPr>
  </w:p>
  <w:p w14:paraId="31ED6FA0" w14:textId="77777777" w:rsidR="008B6732" w:rsidRDefault="008B6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71D38" w14:textId="77777777" w:rsidR="005D1A18" w:rsidRDefault="005D1A18" w:rsidP="001E5F42">
      <w:pPr>
        <w:spacing w:after="0" w:line="240" w:lineRule="auto"/>
      </w:pPr>
      <w:r>
        <w:separator/>
      </w:r>
    </w:p>
  </w:footnote>
  <w:footnote w:type="continuationSeparator" w:id="0">
    <w:p w14:paraId="7A2F81EC" w14:textId="77777777" w:rsidR="005D1A18" w:rsidRDefault="005D1A18" w:rsidP="001E5F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2C1"/>
    <w:multiLevelType w:val="multilevel"/>
    <w:tmpl w:val="0CF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628C6"/>
    <w:multiLevelType w:val="multilevel"/>
    <w:tmpl w:val="DFA6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D0"/>
    <w:rsid w:val="001E5F42"/>
    <w:rsid w:val="004F03B1"/>
    <w:rsid w:val="005038F3"/>
    <w:rsid w:val="00530321"/>
    <w:rsid w:val="005D1A18"/>
    <w:rsid w:val="00617AA6"/>
    <w:rsid w:val="00677AD0"/>
    <w:rsid w:val="008B6732"/>
    <w:rsid w:val="00A44058"/>
    <w:rsid w:val="00A94BF4"/>
    <w:rsid w:val="00DD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FBB2"/>
  <w15:chartTrackingRefBased/>
  <w15:docId w15:val="{6B6BA394-1C0E-476D-8173-B93095B4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7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5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F42"/>
  </w:style>
  <w:style w:type="paragraph" w:styleId="Footer">
    <w:name w:val="footer"/>
    <w:basedOn w:val="Normal"/>
    <w:link w:val="FooterChar"/>
    <w:uiPriority w:val="99"/>
    <w:unhideWhenUsed/>
    <w:rsid w:val="001E5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0BB65-F69F-473E-A0C4-9806E8D0C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Qurratun Nawwarah Yusof</dc:creator>
  <cp:keywords/>
  <dc:description/>
  <cp:lastModifiedBy>Qurratun Nawwarah Yusof</cp:lastModifiedBy>
  <cp:revision>9</cp:revision>
  <dcterms:created xsi:type="dcterms:W3CDTF">2026-02-01T11:40:00Z</dcterms:created>
  <dcterms:modified xsi:type="dcterms:W3CDTF">2026-02-01T15:07:00Z</dcterms:modified>
</cp:coreProperties>
</file>