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Module 11: Bridge Recall &amp; Planning Framework (Sprint 2)</w:t>
      </w:r>
    </w:p>
    <w:p>
      <w:pPr>
        <w:jc w:val="both"/>
      </w:pPr>
      <w:r>
        <w:rPr>
          <w:rFonts w:ascii="Times New Roman" w:hAnsi="Times New Roman"/>
          <w:b/>
          <w:sz w:val="22"/>
        </w:rPr>
        <w:t>VECTOR — Decentralized Micro-Credentialing System</w:t>
      </w:r>
    </w:p>
    <w:p>
      <w:pPr>
        <w:pStyle w:val="Heading2"/>
      </w:pPr>
      <w:r>
        <w:t>Bridge Recall: Security to Performance</w:t>
      </w:r>
    </w:p>
    <w:p>
      <w:pPr>
        <w:jc w:val="both"/>
      </w:pPr>
      <w:r>
        <w:rPr>
          <w:rFonts w:ascii="Times New Roman" w:hAnsi="Times New Roman"/>
          <w:b/>
          <w:sz w:val="24"/>
        </w:rPr>
        <w:t>1. Define "Bottleneck"</w:t>
      </w:r>
    </w:p>
    <w:p>
      <w:pPr>
        <w:jc w:val="both"/>
      </w:pPr>
      <w:r>
        <w:rPr>
          <w:rFonts w:ascii="Times New Roman" w:hAnsi="Times New Roman"/>
          <w:b w:val="0"/>
          <w:sz w:val="20"/>
        </w:rPr>
        <w:t>What does this term mean in the context of system performance and data flow?</w:t>
      </w:r>
    </w:p>
    <w:p>
      <w:pPr>
        <w:ind w:firstLine="720"/>
        <w:jc w:val="both"/>
      </w:pPr>
      <w:r>
        <w:rPr>
          <w:rFonts w:ascii="Times New Roman" w:hAnsi="Times New Roman"/>
          <w:b w:val="0"/>
          <w:sz w:val="24"/>
        </w:rPr>
        <w:t>A bottleneck is a point in a system where throughput is limited by a single component, causing the entire process to slow down despite other components being capable of higher performance. In VECTOR, the bottleneck was the credential minting process — each credential required a separate blockchain transaction and a separate MetaMask signature, creating serial congestion that scaled linearly with the number of students.</w:t>
      </w:r>
    </w:p>
    <w:p>
      <w:pPr>
        <w:jc w:val="both"/>
      </w:pPr>
      <w:r>
        <w:rPr>
          <w:rFonts w:ascii="Times New Roman" w:hAnsi="Times New Roman"/>
          <w:b/>
          <w:sz w:val="24"/>
        </w:rPr>
        <w:t>2. Previous Fix &amp; Metrics</w:t>
      </w:r>
    </w:p>
    <w:p>
      <w:pPr>
        <w:jc w:val="both"/>
      </w:pPr>
      <w:r>
        <w:rPr>
          <w:rFonts w:ascii="Times New Roman" w:hAnsi="Times New Roman"/>
          <w:b w:val="0"/>
          <w:sz w:val="20"/>
        </w:rPr>
        <w:t>Name the fix your team applied last time and specifically what metric it improved (e.g., time, gas, memory).</w:t>
      </w:r>
    </w:p>
    <w:p>
      <w:pPr>
        <w:ind w:firstLine="720"/>
        <w:jc w:val="both"/>
      </w:pPr>
      <w:r>
        <w:rPr>
          <w:rFonts w:ascii="Times New Roman" w:hAnsi="Times New Roman"/>
          <w:b w:val="0"/>
          <w:sz w:val="24"/>
        </w:rPr>
        <w:t>In Sprint 1, we implemented Role-Based Access Control (RBAC) using OpenZeppelin's AccessControl on the smart contract and Supabase Auth on the backend. We also added Zod input validation on all API routes to prevent injection attacks. This improved security (zero unauthorized minting events in testing) and reliability (all malformed inputs are rejected before reaching the blockchain, saving gas on reverted transactions).</w:t>
      </w:r>
    </w:p>
    <w:p>
      <w:pPr>
        <w:jc w:val="both"/>
      </w:pPr>
      <w:r>
        <w:rPr>
          <w:rFonts w:ascii="Times New Roman" w:hAnsi="Times New Roman"/>
          <w:b/>
          <w:sz w:val="24"/>
        </w:rPr>
        <w:t>3. Scaling Strategy</w:t>
      </w:r>
    </w:p>
    <w:p>
      <w:pPr>
        <w:jc w:val="both"/>
      </w:pPr>
      <w:r>
        <w:rPr>
          <w:rFonts w:ascii="Times New Roman" w:hAnsi="Times New Roman"/>
          <w:b w:val="0"/>
          <w:sz w:val="20"/>
        </w:rPr>
        <w:t>Which would scale better for 10x users — caching or vertical scaling? Why?</w:t>
      </w:r>
    </w:p>
    <w:p>
      <w:pPr>
        <w:ind w:firstLine="720"/>
        <w:jc w:val="both"/>
      </w:pPr>
      <w:r>
        <w:rPr>
          <w:rFonts w:ascii="Times New Roman" w:hAnsi="Times New Roman"/>
          <w:b w:val="0"/>
          <w:sz w:val="24"/>
        </w:rPr>
        <w:t>Caching scales better for our system. Vertical scaling (upgrading server hardware) hits physical limits and becomes expensive. VECTOR already implements a Skill Health Cache in Supabase that stores pre-computed velocityScores and trend slopes. This means the AI engine doesn't re-analyze every dashboard load — only when new market data arrives via the daily cron job. For 10x users, caching lets us serve dashboards instantly from cached results with near-zero additional compute cost.</w:t>
      </w:r>
    </w:p>
    <w:p>
      <w:pPr>
        <w:pStyle w:val="Heading2"/>
      </w:pPr>
      <w:r>
        <w:t>Sprint 2 Plan Table</w:t>
      </w:r>
    </w:p>
    <w:tbl>
      <w:tblPr>
        <w:tblStyle w:val="TableGrid"/>
        <w:tblW w:type="auto" w:w="0"/>
        <w:jc w:val="center"/>
        <w:tblLook w:firstColumn="1" w:firstRow="1" w:lastColumn="0" w:lastRow="0" w:noHBand="0" w:noVBand="1" w:val="04A0"/>
      </w:tblPr>
      <w:tblGrid>
        <w:gridCol w:w="4680"/>
        <w:gridCol w:w="4680"/>
      </w:tblGrid>
      <w:tr>
        <w:tc>
          <w:tcPr>
            <w:tcW w:type="dxa" w:w="4680"/>
            <w:shd w:fill="1c4587" w:val="clear"/>
          </w:tcPr>
          <w:p>
            <w:pPr>
              <w:jc w:val="left"/>
            </w:pPr>
            <w:r>
              <w:rPr>
                <w:rFonts w:ascii="Times New Roman" w:hAnsi="Times New Roman"/>
                <w:b/>
                <w:color w:val="FFFFFF"/>
                <w:sz w:val="18"/>
              </w:rPr>
              <w:t>ITEM CATEGORY</w:t>
            </w:r>
          </w:p>
        </w:tc>
        <w:tc>
          <w:tcPr>
            <w:tcW w:type="dxa" w:w="4680"/>
            <w:shd w:fill="1c4587" w:val="clear"/>
          </w:tcPr>
          <w:p>
            <w:pPr>
              <w:jc w:val="left"/>
            </w:pPr>
            <w:r>
              <w:rPr>
                <w:rFonts w:ascii="Times New Roman" w:hAnsi="Times New Roman"/>
                <w:b/>
                <w:color w:val="FFFFFF"/>
                <w:sz w:val="18"/>
              </w:rPr>
              <w:t>DESCRIPTION &amp; DETAILS</w:t>
            </w:r>
          </w:p>
        </w:tc>
      </w:tr>
      <w:tr>
        <w:tc>
          <w:tcPr>
            <w:tcW w:type="dxa" w:w="4680"/>
          </w:tcPr>
          <w:p>
            <w:pPr>
              <w:jc w:val="left"/>
            </w:pPr>
            <w:r>
              <w:rPr>
                <w:rFonts w:ascii="Times New Roman" w:hAnsi="Times New Roman"/>
                <w:sz w:val="18"/>
              </w:rPr>
              <w:t>New Feature</w:t>
            </w:r>
          </w:p>
        </w:tc>
        <w:tc>
          <w:tcPr>
            <w:tcW w:type="dxa" w:w="4680"/>
          </w:tcPr>
          <w:p>
            <w:pPr>
              <w:jc w:val="left"/>
            </w:pPr>
            <w:r>
              <w:rPr>
                <w:rFonts w:ascii="Times New Roman" w:hAnsi="Times New Roman"/>
                <w:sz w:val="18"/>
              </w:rPr>
              <w:t>AI Career Coach with Skill Decay Detection: Added a student coach dashboard showing a 3-signal Weighted Velocity Score (slope 40%, job volume 30%, recency 30%) per skill, rising/declining skill indicators, and a domain-aware course recommendation engine with Tier 1/Tier 2 filtering.</w:t>
            </w:r>
          </w:p>
        </w:tc>
      </w:tr>
      <w:tr>
        <w:tc>
          <w:tcPr>
            <w:tcW w:type="dxa" w:w="4680"/>
            <w:shd w:fill="f0f4f8" w:val="clear"/>
          </w:tcPr>
          <w:p>
            <w:pPr>
              <w:jc w:val="left"/>
            </w:pPr>
            <w:r>
              <w:rPr>
                <w:rFonts w:ascii="Times New Roman" w:hAnsi="Times New Roman"/>
                <w:sz w:val="18"/>
              </w:rPr>
              <w:t>Integration</w:t>
            </w:r>
          </w:p>
        </w:tc>
        <w:tc>
          <w:tcPr>
            <w:tcW w:type="dxa" w:w="4680"/>
            <w:shd w:fill="f0f4f8" w:val="clear"/>
          </w:tcPr>
          <w:p>
            <w:pPr>
              <w:jc w:val="left"/>
            </w:pPr>
            <w:r>
              <w:rPr>
                <w:rFonts w:ascii="Times New Roman" w:hAnsi="Times New Roman"/>
                <w:sz w:val="18"/>
              </w:rPr>
              <w:t>Gemini 2.5 Flash NLP + Adzuna Job Market API: Integrated Gemini for zero-shot skill extraction from credential text, and Adzuna API (via daily cron job in GitHub Actions) for real-time job market demand signals feeding the market_snapshots table.</w:t>
            </w:r>
          </w:p>
        </w:tc>
      </w:tr>
      <w:tr>
        <w:tc>
          <w:tcPr>
            <w:tcW w:type="dxa" w:w="4680"/>
          </w:tcPr>
          <w:p>
            <w:pPr>
              <w:jc w:val="left"/>
            </w:pPr>
            <w:r>
              <w:rPr>
                <w:rFonts w:ascii="Times New Roman" w:hAnsi="Times New Roman"/>
                <w:sz w:val="18"/>
              </w:rPr>
              <w:t>Success Criteria</w:t>
            </w:r>
          </w:p>
        </w:tc>
        <w:tc>
          <w:tcPr>
            <w:tcW w:type="dxa" w:w="4680"/>
          </w:tcPr>
          <w:p>
            <w:pPr>
              <w:jc w:val="left"/>
            </w:pPr>
            <w:r>
              <w:rPr>
                <w:rFonts w:ascii="Times New Roman" w:hAnsi="Times New Roman"/>
                <w:sz w:val="18"/>
              </w:rPr>
              <w:t>AI Accuracy: NLP skill extraction achieves F1 &gt;= 0.90 on a 20-case golden dataset across 4 credential types (achieved F1: 0.99, Precision: 0.99, Recall: 1.00). Skill health scores correctly classify skills as Rising/Stable/Decaying based on velocityScore bands.</w:t>
            </w:r>
          </w:p>
        </w:tc>
      </w:tr>
      <w:tr>
        <w:tc>
          <w:tcPr>
            <w:tcW w:type="dxa" w:w="4680"/>
            <w:shd w:fill="f0f4f8" w:val="clear"/>
          </w:tcPr>
          <w:p>
            <w:pPr>
              <w:jc w:val="left"/>
            </w:pPr>
            <w:r>
              <w:rPr>
                <w:rFonts w:ascii="Times New Roman" w:hAnsi="Times New Roman"/>
                <w:sz w:val="18"/>
              </w:rPr>
              <w:t>Risks &amp; Fixes</w:t>
            </w:r>
          </w:p>
        </w:tc>
        <w:tc>
          <w:tcPr>
            <w:tcW w:type="dxa" w:w="4680"/>
            <w:shd w:fill="f0f4f8" w:val="clear"/>
          </w:tcPr>
          <w:p>
            <w:pPr>
              <w:jc w:val="left"/>
            </w:pPr>
            <w:r>
              <w:rPr>
                <w:rFonts w:ascii="Times New Roman" w:hAnsi="Times New Roman"/>
                <w:sz w:val="18"/>
              </w:rPr>
              <w:t>Risk: Gemini API rate limit exceeded (free tier: 15 RPM) during concurrent student analysis requests. Fix: Implemented Supabase skill_health_cache table to store pre-computed results, and a token bucket rate limiter on sensitive API routes.</w:t>
            </w:r>
          </w:p>
        </w:tc>
      </w:tr>
    </w:tbl>
    <w:p>
      <w:pPr>
        <w:pStyle w:val="Heading2"/>
      </w:pPr>
      <w:r>
        <w:t>Verification: Before vs After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c4587" w:val="clear"/>
          </w:tcPr>
          <w:p>
            <w:pPr>
              <w:jc w:val="left"/>
            </w:pPr>
            <w:r>
              <w:rPr>
                <w:rFonts w:ascii="Times New Roman" w:hAnsi="Times New Roman"/>
                <w:b/>
                <w:color w:val="FFFFFF"/>
                <w:sz w:val="18"/>
              </w:rPr>
              <w:t>TEST CASE/SCENARIO</w:t>
            </w:r>
          </w:p>
        </w:tc>
        <w:tc>
          <w:tcPr>
            <w:tcW w:type="dxa" w:w="2340"/>
            <w:shd w:fill="1c4587" w:val="clear"/>
          </w:tcPr>
          <w:p>
            <w:pPr>
              <w:jc w:val="left"/>
            </w:pPr>
            <w:r>
              <w:rPr>
                <w:rFonts w:ascii="Times New Roman" w:hAnsi="Times New Roman"/>
                <w:b/>
                <w:color w:val="FFFFFF"/>
                <w:sz w:val="18"/>
              </w:rPr>
              <w:t>BEFORE STATE</w:t>
            </w:r>
          </w:p>
        </w:tc>
        <w:tc>
          <w:tcPr>
            <w:tcW w:type="dxa" w:w="2340"/>
            <w:shd w:fill="1c4587" w:val="clear"/>
          </w:tcPr>
          <w:p>
            <w:pPr>
              <w:jc w:val="left"/>
            </w:pPr>
            <w:r>
              <w:rPr>
                <w:rFonts w:ascii="Times New Roman" w:hAnsi="Times New Roman"/>
                <w:b/>
                <w:color w:val="FFFFFF"/>
                <w:sz w:val="18"/>
              </w:rPr>
              <w:t>AFTER STATE</w:t>
            </w:r>
          </w:p>
        </w:tc>
        <w:tc>
          <w:tcPr>
            <w:tcW w:type="dxa" w:w="2340"/>
            <w:shd w:fill="1c4587" w:val="clear"/>
          </w:tcPr>
          <w:p>
            <w:pPr>
              <w:jc w:val="left"/>
            </w:pPr>
            <w:r>
              <w:rPr>
                <w:rFonts w:ascii="Times New Roman" w:hAnsi="Times New Roman"/>
                <w:b/>
                <w:color w:val="FFFFFF"/>
                <w:sz w:val="18"/>
              </w:rPr>
              <w:t>IMPROVEMENT TYPE</w:t>
            </w:r>
          </w:p>
        </w:tc>
      </w:tr>
      <w:tr>
        <w:tc>
          <w:tcPr>
            <w:tcW w:type="dxa" w:w="2340"/>
          </w:tcPr>
          <w:p>
            <w:pPr>
              <w:jc w:val="left"/>
            </w:pPr>
            <w:r>
              <w:rPr>
                <w:rFonts w:ascii="Times New Roman" w:hAnsi="Times New Roman"/>
                <w:sz w:val="18"/>
              </w:rPr>
              <w:t>Batch CSV Minting</w:t>
            </w:r>
          </w:p>
        </w:tc>
        <w:tc>
          <w:tcPr>
            <w:tcW w:type="dxa" w:w="2340"/>
          </w:tcPr>
          <w:p>
            <w:pPr>
              <w:jc w:val="left"/>
            </w:pPr>
            <w:r>
              <w:rPr>
                <w:rFonts w:ascii="Times New Roman" w:hAnsi="Times New Roman"/>
                <w:sz w:val="18"/>
              </w:rPr>
              <w:t>Required N MetaMask popups and N individual transactions for N student records.</w:t>
            </w:r>
          </w:p>
        </w:tc>
        <w:tc>
          <w:tcPr>
            <w:tcW w:type="dxa" w:w="2340"/>
          </w:tcPr>
          <w:p>
            <w:pPr>
              <w:jc w:val="left"/>
            </w:pPr>
            <w:r>
              <w:rPr>
                <w:rFonts w:ascii="Times New Roman" w:hAnsi="Times New Roman"/>
                <w:sz w:val="18"/>
              </w:rPr>
              <w:t>Single batchMintSkills() call — 1 MetaMask popup, 1 on-chain transaction for all records.</w:t>
            </w:r>
          </w:p>
        </w:tc>
        <w:tc>
          <w:tcPr>
            <w:tcW w:type="dxa" w:w="2340"/>
          </w:tcPr>
          <w:p>
            <w:pPr>
              <w:jc w:val="left"/>
            </w:pPr>
            <w:r>
              <w:rPr>
                <w:rFonts w:ascii="Times New Roman" w:hAnsi="Times New Roman"/>
                <w:sz w:val="18"/>
              </w:rPr>
              <w:t>EXPANDED FEATURE</w:t>
            </w:r>
          </w:p>
        </w:tc>
      </w:tr>
      <w:tr>
        <w:tc>
          <w:tcPr>
            <w:tcW w:type="dxa" w:w="2340"/>
            <w:shd w:fill="f0f4f8" w:val="clear"/>
          </w:tcPr>
          <w:p>
            <w:pPr>
              <w:jc w:val="left"/>
            </w:pPr>
            <w:r>
              <w:rPr>
                <w:rFonts w:ascii="Times New Roman" w:hAnsi="Times New Roman"/>
                <w:sz w:val="18"/>
              </w:rPr>
              <w:t>Course Recommendations</w:t>
            </w:r>
          </w:p>
        </w:tc>
        <w:tc>
          <w:tcPr>
            <w:tcW w:type="dxa" w:w="2340"/>
            <w:shd w:fill="f0f4f8" w:val="clear"/>
          </w:tcPr>
          <w:p>
            <w:pPr>
              <w:jc w:val="left"/>
            </w:pPr>
            <w:r>
              <w:rPr>
                <w:rFonts w:ascii="Times New Roman" w:hAnsi="Times New Roman"/>
                <w:sz w:val="18"/>
              </w:rPr>
              <w:t>No recommendation system — students browsed courses manually with no personalization.</w:t>
            </w:r>
          </w:p>
        </w:tc>
        <w:tc>
          <w:tcPr>
            <w:tcW w:type="dxa" w:w="2340"/>
            <w:shd w:fill="f0f4f8" w:val="clear"/>
          </w:tcPr>
          <w:p>
            <w:pPr>
              <w:jc w:val="left"/>
            </w:pPr>
            <w:r>
              <w:rPr>
                <w:rFonts w:ascii="Times New Roman" w:hAnsi="Times New Roman"/>
                <w:sz w:val="18"/>
              </w:rPr>
              <w:t>AI-powered domain-aware recommendation engine using Tier 1 (field-relevant) and Tier 2 (explore) filtering, scored by 4 signals: decay, gap, growth, complement.</w:t>
            </w:r>
          </w:p>
        </w:tc>
        <w:tc>
          <w:tcPr>
            <w:tcW w:type="dxa" w:w="2340"/>
            <w:shd w:fill="f0f4f8" w:val="clear"/>
          </w:tcPr>
          <w:p>
            <w:pPr>
              <w:jc w:val="left"/>
            </w:pPr>
            <w:r>
              <w:rPr>
                <w:rFonts w:ascii="Times New Roman" w:hAnsi="Times New Roman"/>
                <w:sz w:val="18"/>
              </w:rPr>
              <w:t>EXPANDED INTEGRATION</w:t>
            </w:r>
          </w:p>
        </w:tc>
      </w:tr>
      <w:tr>
        <w:tc>
          <w:tcPr>
            <w:tcW w:type="dxa" w:w="2340"/>
          </w:tcPr>
          <w:p>
            <w:pPr>
              <w:jc w:val="left"/>
            </w:pPr>
            <w:r>
              <w:rPr>
                <w:rFonts w:ascii="Times New Roman" w:hAnsi="Times New Roman"/>
                <w:sz w:val="18"/>
              </w:rPr>
              <w:t>Skill Health Dashboard</w:t>
            </w:r>
          </w:p>
        </w:tc>
        <w:tc>
          <w:tcPr>
            <w:tcW w:type="dxa" w:w="2340"/>
          </w:tcPr>
          <w:p>
            <w:pPr>
              <w:jc w:val="left"/>
            </w:pPr>
            <w:r>
              <w:rPr>
                <w:rFonts w:ascii="Times New Roman" w:hAnsi="Times New Roman"/>
                <w:sz w:val="18"/>
              </w:rPr>
              <w:t>No skill tracking — credentials were static records with no market context.</w:t>
            </w:r>
          </w:p>
        </w:tc>
        <w:tc>
          <w:tcPr>
            <w:tcW w:type="dxa" w:w="2340"/>
          </w:tcPr>
          <w:p>
            <w:pPr>
              <w:jc w:val="left"/>
            </w:pPr>
            <w:r>
              <w:rPr>
                <w:rFonts w:ascii="Times New Roman" w:hAnsi="Times New Roman"/>
                <w:sz w:val="18"/>
              </w:rPr>
              <w:t>Each skill shows a velocityScore [0-100] with Rising/Stable/Decaying trend labels computed from 3-signal Weighted Velocity Scoring.</w:t>
            </w:r>
          </w:p>
        </w:tc>
        <w:tc>
          <w:tcPr>
            <w:tcW w:type="dxa" w:w="2340"/>
          </w:tcPr>
          <w:p>
            <w:pPr>
              <w:jc w:val="left"/>
            </w:pPr>
            <w:r>
              <w:rPr>
                <w:rFonts w:ascii="Times New Roman" w:hAnsi="Times New Roman"/>
                <w:sz w:val="18"/>
              </w:rPr>
              <w:t>EXPANDED FEATURE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