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406C" w14:textId="1B32F2FB" w:rsidR="00E642DF" w:rsidRPr="00480D02" w:rsidRDefault="00E642DF" w:rsidP="00E642DF">
      <w:pPr>
        <w:pStyle w:val="Heading2"/>
        <w:rPr>
          <w:rFonts w:ascii="Avenir Book" w:hAnsi="Avenir Book"/>
          <w:color w:val="000000"/>
          <w:sz w:val="21"/>
          <w:szCs w:val="21"/>
          <w:lang w:val="en-GB"/>
        </w:rPr>
      </w:pPr>
      <w:r w:rsidRPr="00480D02">
        <w:rPr>
          <w:rFonts w:ascii="Avenir Book" w:hAnsi="Avenir Book"/>
          <w:color w:val="000000"/>
          <w:sz w:val="21"/>
          <w:szCs w:val="21"/>
          <w:lang w:val="en-GB"/>
        </w:rPr>
        <w:t xml:space="preserve">WHAT THIS MEANS FOR YOU </w:t>
      </w:r>
    </w:p>
    <w:p w14:paraId="14778581" w14:textId="2961FA68" w:rsidR="00E642DF" w:rsidRPr="00480D02" w:rsidRDefault="00E642DF" w:rsidP="00E642DF">
      <w:pPr>
        <w:pStyle w:val="Heading2"/>
        <w:rPr>
          <w:rFonts w:ascii="Avenir Book" w:hAnsi="Avenir Book"/>
          <w:color w:val="000000"/>
          <w:sz w:val="21"/>
          <w:szCs w:val="21"/>
          <w:lang w:val="en-GB"/>
        </w:rPr>
      </w:pPr>
      <w:r w:rsidRPr="00480D02">
        <w:rPr>
          <w:rFonts w:ascii="Avenir Book" w:hAnsi="Avenir Book"/>
          <w:color w:val="000000"/>
          <w:sz w:val="21"/>
          <w:szCs w:val="21"/>
          <w:lang w:val="en-GB"/>
        </w:rPr>
        <w:t>(Subject to Full Compliance with Permitted Development Legislation)</w:t>
      </w:r>
    </w:p>
    <w:p w14:paraId="48496600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Based on available planning data, Permitted Development (PD) rights appear to apply to this property.</w:t>
      </w:r>
    </w:p>
    <w:p w14:paraId="42DAFA6C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This means certain types of development</w:t>
      </w:r>
      <w:r w:rsidRPr="00480D02">
        <w:rPr>
          <w:rStyle w:val="apple-converted-space"/>
          <w:rFonts w:ascii="Avenir Book" w:hAnsi="Avenir Book"/>
          <w:color w:val="000000"/>
          <w:sz w:val="21"/>
          <w:szCs w:val="21"/>
        </w:rPr>
        <w:t> </w:t>
      </w:r>
      <w:r w:rsidRPr="00480D02">
        <w:rPr>
          <w:rStyle w:val="Strong"/>
          <w:rFonts w:ascii="Avenir Book" w:eastAsiaTheme="majorEastAsia" w:hAnsi="Avenir Book"/>
          <w:b w:val="0"/>
          <w:bCs w:val="0"/>
          <w:color w:val="000000"/>
          <w:sz w:val="21"/>
          <w:szCs w:val="21"/>
        </w:rPr>
        <w:t>may be possible without a full planning application</w:t>
      </w:r>
      <w:r w:rsidRPr="00480D02">
        <w:rPr>
          <w:rFonts w:ascii="Avenir Book" w:hAnsi="Avenir Book"/>
          <w:color w:val="000000"/>
          <w:sz w:val="21"/>
          <w:szCs w:val="21"/>
        </w:rPr>
        <w:t>, provided the proposal complies strictly with national legislation and any site-specific restrictions.</w:t>
      </w:r>
    </w:p>
    <w:p w14:paraId="65C5D4B4" w14:textId="01756A79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 xml:space="preserve">The following represents the most common forms of development that </w:t>
      </w:r>
      <w:r w:rsidR="00480D02" w:rsidRPr="00480D02">
        <w:rPr>
          <w:rFonts w:ascii="Avenir Book" w:hAnsi="Avenir Book"/>
          <w:color w:val="000000"/>
          <w:sz w:val="21"/>
          <w:szCs w:val="21"/>
        </w:rPr>
        <w:t>may be</w:t>
      </w:r>
      <w:r w:rsidRPr="00480D02">
        <w:rPr>
          <w:rFonts w:ascii="Avenir Book" w:hAnsi="Avenir Book"/>
          <w:color w:val="000000"/>
          <w:sz w:val="21"/>
          <w:szCs w:val="21"/>
        </w:rPr>
        <w:t xml:space="preserve"> achievable under PD rules. Each is subject to detailed design review and statutory limits.</w:t>
      </w:r>
    </w:p>
    <w:p w14:paraId="717DE490" w14:textId="77777777" w:rsidR="00E642DF" w:rsidRPr="00480D02" w:rsidRDefault="00A32D21" w:rsidP="00E642DF">
      <w:pPr>
        <w:rPr>
          <w:rFonts w:ascii="Avenir Book" w:hAnsi="Avenir Book"/>
          <w:sz w:val="21"/>
          <w:szCs w:val="21"/>
          <w:lang w:val="en-GB"/>
        </w:rPr>
      </w:pPr>
      <w:r w:rsidRPr="00A32D21">
        <w:rPr>
          <w:rFonts w:ascii="Avenir Book" w:hAnsi="Avenir Book"/>
          <w:noProof/>
          <w:sz w:val="21"/>
          <w:szCs w:val="21"/>
          <w:lang w:val="en-GB"/>
        </w:rPr>
        <w:pict w14:anchorId="099578D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5B66D17" w14:textId="4B99F104" w:rsidR="00E642DF" w:rsidRPr="00480D02" w:rsidRDefault="00E642DF" w:rsidP="00E642DF">
      <w:pPr>
        <w:pStyle w:val="Heading2"/>
        <w:rPr>
          <w:rFonts w:ascii="Avenir Book" w:hAnsi="Avenir Book"/>
          <w:color w:val="000000"/>
          <w:sz w:val="21"/>
          <w:szCs w:val="21"/>
          <w:lang w:val="en-GB"/>
        </w:rPr>
      </w:pPr>
      <w:r w:rsidRPr="00480D02">
        <w:rPr>
          <w:rFonts w:ascii="Avenir Book" w:hAnsi="Avenir Book"/>
          <w:color w:val="000000"/>
          <w:sz w:val="21"/>
          <w:szCs w:val="21"/>
          <w:lang w:val="en-GB"/>
        </w:rPr>
        <w:t>1. LOFT CONVERSIONS (most common PD use)</w:t>
      </w:r>
    </w:p>
    <w:p w14:paraId="4283B9BC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A loft conversion may be possible under PD, subject to:</w:t>
      </w:r>
    </w:p>
    <w:p w14:paraId="52794BD8" w14:textId="77777777" w:rsidR="00E642DF" w:rsidRPr="00480D02" w:rsidRDefault="00E642DF" w:rsidP="00E642DF">
      <w:pPr>
        <w:pStyle w:val="NormalWeb"/>
        <w:numPr>
          <w:ilvl w:val="0"/>
          <w:numId w:val="10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Maximum additional roof volume of:</w:t>
      </w:r>
    </w:p>
    <w:p w14:paraId="125F828D" w14:textId="77777777" w:rsidR="00E642DF" w:rsidRPr="00480D02" w:rsidRDefault="00E642DF" w:rsidP="00E642DF">
      <w:pPr>
        <w:pStyle w:val="NormalWeb"/>
        <w:numPr>
          <w:ilvl w:val="1"/>
          <w:numId w:val="10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40 cubic metres (terraced or semi-detached house)</w:t>
      </w:r>
    </w:p>
    <w:p w14:paraId="75200FF8" w14:textId="77777777" w:rsidR="00E642DF" w:rsidRPr="00480D02" w:rsidRDefault="00E642DF" w:rsidP="00E642DF">
      <w:pPr>
        <w:pStyle w:val="NormalWeb"/>
        <w:numPr>
          <w:ilvl w:val="1"/>
          <w:numId w:val="10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50 cubic metres (detached house)</w:t>
      </w:r>
    </w:p>
    <w:p w14:paraId="6A119880" w14:textId="77777777" w:rsidR="00E642DF" w:rsidRPr="00480D02" w:rsidRDefault="00E642DF" w:rsidP="00E642DF">
      <w:pPr>
        <w:pStyle w:val="NormalWeb"/>
        <w:numPr>
          <w:ilvl w:val="0"/>
          <w:numId w:val="10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No extension beyond the existing roof ridge height</w:t>
      </w:r>
    </w:p>
    <w:p w14:paraId="401446A2" w14:textId="77777777" w:rsidR="00E642DF" w:rsidRPr="00480D02" w:rsidRDefault="00E642DF" w:rsidP="00E642DF">
      <w:pPr>
        <w:pStyle w:val="NormalWeb"/>
        <w:numPr>
          <w:ilvl w:val="0"/>
          <w:numId w:val="10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No extension beyond the front roof slope facing the highway</w:t>
      </w:r>
    </w:p>
    <w:p w14:paraId="64E69069" w14:textId="77777777" w:rsidR="00E642DF" w:rsidRPr="00480D02" w:rsidRDefault="00E642DF" w:rsidP="00E642DF">
      <w:pPr>
        <w:pStyle w:val="NormalWeb"/>
        <w:numPr>
          <w:ilvl w:val="0"/>
          <w:numId w:val="10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Materials similar in appearance to the existing dwelling</w:t>
      </w:r>
    </w:p>
    <w:p w14:paraId="7C3F0AFF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Note: Design details, roof form, previous extensions and local restrictions can affect eligibility.</w:t>
      </w:r>
    </w:p>
    <w:p w14:paraId="1995C656" w14:textId="77777777" w:rsidR="00E642DF" w:rsidRPr="00480D02" w:rsidRDefault="00A32D21" w:rsidP="00E642DF">
      <w:pPr>
        <w:rPr>
          <w:rFonts w:ascii="Avenir Book" w:hAnsi="Avenir Book"/>
          <w:sz w:val="21"/>
          <w:szCs w:val="21"/>
          <w:lang w:val="en-GB"/>
        </w:rPr>
      </w:pPr>
      <w:r w:rsidRPr="00A32D21">
        <w:rPr>
          <w:rFonts w:ascii="Avenir Book" w:hAnsi="Avenir Book"/>
          <w:noProof/>
          <w:sz w:val="21"/>
          <w:szCs w:val="21"/>
          <w:lang w:val="en-GB"/>
        </w:rPr>
        <w:pict w14:anchorId="29D8DB7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E681B9" w14:textId="097FEA9A" w:rsidR="00E642DF" w:rsidRPr="00480D02" w:rsidRDefault="00E642DF" w:rsidP="00E642DF">
      <w:pPr>
        <w:pStyle w:val="Heading2"/>
        <w:rPr>
          <w:rFonts w:ascii="Avenir Book" w:hAnsi="Avenir Book"/>
          <w:color w:val="000000"/>
          <w:sz w:val="21"/>
          <w:szCs w:val="21"/>
          <w:lang w:val="en-GB"/>
        </w:rPr>
      </w:pPr>
      <w:r w:rsidRPr="00480D02">
        <w:rPr>
          <w:rFonts w:ascii="Avenir Book" w:hAnsi="Avenir Book"/>
          <w:color w:val="000000"/>
          <w:sz w:val="21"/>
          <w:szCs w:val="21"/>
          <w:lang w:val="en-GB"/>
        </w:rPr>
        <w:t>2. Single-</w:t>
      </w:r>
      <w:r w:rsidR="00480D02" w:rsidRPr="00480D02">
        <w:rPr>
          <w:rFonts w:ascii="Avenir Book" w:hAnsi="Avenir Book"/>
          <w:color w:val="000000"/>
          <w:sz w:val="21"/>
          <w:szCs w:val="21"/>
          <w:lang w:val="en-GB"/>
        </w:rPr>
        <w:t>Storey</w:t>
      </w:r>
      <w:r w:rsidRPr="00480D02">
        <w:rPr>
          <w:rFonts w:ascii="Avenir Book" w:hAnsi="Avenir Book"/>
          <w:color w:val="000000"/>
          <w:sz w:val="21"/>
          <w:szCs w:val="21"/>
          <w:lang w:val="en-GB"/>
        </w:rPr>
        <w:t xml:space="preserve"> Rear Extensions</w:t>
      </w:r>
    </w:p>
    <w:p w14:paraId="230B5DB1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A single-storey rear extension may be possible, subject to:</w:t>
      </w:r>
    </w:p>
    <w:p w14:paraId="06160DB8" w14:textId="77777777" w:rsidR="00E642DF" w:rsidRPr="00480D02" w:rsidRDefault="00E642DF" w:rsidP="00E642DF">
      <w:pPr>
        <w:pStyle w:val="NormalWeb"/>
        <w:numPr>
          <w:ilvl w:val="0"/>
          <w:numId w:val="11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Maximum depth of:</w:t>
      </w:r>
    </w:p>
    <w:p w14:paraId="17190B16" w14:textId="77777777" w:rsidR="00E642DF" w:rsidRPr="00480D02" w:rsidRDefault="00E642DF" w:rsidP="00E642DF">
      <w:pPr>
        <w:pStyle w:val="NormalWeb"/>
        <w:numPr>
          <w:ilvl w:val="1"/>
          <w:numId w:val="11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3 metres beyond the original rear wall (terrace or semi-detached house)</w:t>
      </w:r>
    </w:p>
    <w:p w14:paraId="36CB0A28" w14:textId="77777777" w:rsidR="00E642DF" w:rsidRPr="00480D02" w:rsidRDefault="00E642DF" w:rsidP="00E642DF">
      <w:pPr>
        <w:pStyle w:val="NormalWeb"/>
        <w:numPr>
          <w:ilvl w:val="1"/>
          <w:numId w:val="11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4 metres beyond the original rear wall (detached house)</w:t>
      </w:r>
    </w:p>
    <w:p w14:paraId="26517F18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Under the Larger Home Extension Scheme (subject to neighbour consultation and prior approval process):</w:t>
      </w:r>
    </w:p>
    <w:p w14:paraId="1F85780A" w14:textId="77777777" w:rsidR="00E642DF" w:rsidRPr="00480D02" w:rsidRDefault="00E642DF" w:rsidP="00E642DF">
      <w:pPr>
        <w:pStyle w:val="NormalWeb"/>
        <w:numPr>
          <w:ilvl w:val="0"/>
          <w:numId w:val="12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Up to 6 metres (terrace/semi)</w:t>
      </w:r>
    </w:p>
    <w:p w14:paraId="5E5AD393" w14:textId="77777777" w:rsidR="00E642DF" w:rsidRPr="00480D02" w:rsidRDefault="00E642DF" w:rsidP="00E642DF">
      <w:pPr>
        <w:pStyle w:val="NormalWeb"/>
        <w:numPr>
          <w:ilvl w:val="0"/>
          <w:numId w:val="12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Up to 8 metres (detached)</w:t>
      </w:r>
    </w:p>
    <w:p w14:paraId="5D73943A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lastRenderedPageBreak/>
        <w:t>Additional restrictions apply to:</w:t>
      </w:r>
    </w:p>
    <w:p w14:paraId="360A6F81" w14:textId="3FCA9194" w:rsidR="00E642DF" w:rsidRPr="00480D02" w:rsidRDefault="00E642DF" w:rsidP="00E642DF">
      <w:pPr>
        <w:pStyle w:val="NormalWeb"/>
        <w:numPr>
          <w:ilvl w:val="0"/>
          <w:numId w:val="13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Maximum height</w:t>
      </w:r>
    </w:p>
    <w:p w14:paraId="49647A0F" w14:textId="77777777" w:rsidR="00E642DF" w:rsidRPr="00480D02" w:rsidRDefault="00E642DF" w:rsidP="00E642DF">
      <w:pPr>
        <w:pStyle w:val="NormalWeb"/>
        <w:numPr>
          <w:ilvl w:val="0"/>
          <w:numId w:val="13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Eaves height near boundaries</w:t>
      </w:r>
    </w:p>
    <w:p w14:paraId="2EAB7541" w14:textId="77777777" w:rsidR="00E642DF" w:rsidRPr="00480D02" w:rsidRDefault="00E642DF" w:rsidP="00E642DF">
      <w:pPr>
        <w:pStyle w:val="NormalWeb"/>
        <w:numPr>
          <w:ilvl w:val="0"/>
          <w:numId w:val="13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Overall garden coverage</w:t>
      </w:r>
    </w:p>
    <w:p w14:paraId="02BE165C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Approval under the Larger Home Extension Scheme is not automatic and may require formal prior approval from the local authority.</w:t>
      </w:r>
    </w:p>
    <w:p w14:paraId="516C6F6F" w14:textId="77777777" w:rsidR="00E642DF" w:rsidRPr="00480D02" w:rsidRDefault="00A32D21" w:rsidP="00E642DF">
      <w:pPr>
        <w:rPr>
          <w:rFonts w:ascii="Avenir Book" w:hAnsi="Avenir Book"/>
          <w:sz w:val="21"/>
          <w:szCs w:val="21"/>
          <w:lang w:val="en-GB"/>
        </w:rPr>
      </w:pPr>
      <w:r w:rsidRPr="00A32D21">
        <w:rPr>
          <w:rFonts w:ascii="Avenir Book" w:hAnsi="Avenir Book"/>
          <w:noProof/>
          <w:sz w:val="21"/>
          <w:szCs w:val="21"/>
          <w:lang w:val="en-GB"/>
        </w:rPr>
        <w:pict w14:anchorId="3FD9C25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FBCF04" w14:textId="77777777" w:rsidR="00E642DF" w:rsidRPr="00480D02" w:rsidRDefault="00E642DF" w:rsidP="00E642DF">
      <w:pPr>
        <w:pStyle w:val="Heading2"/>
        <w:rPr>
          <w:rFonts w:ascii="Avenir Book" w:hAnsi="Avenir Book"/>
          <w:color w:val="000000"/>
          <w:sz w:val="21"/>
          <w:szCs w:val="21"/>
          <w:lang w:val="en-GB"/>
        </w:rPr>
      </w:pPr>
      <w:r w:rsidRPr="00480D02">
        <w:rPr>
          <w:rFonts w:ascii="Avenir Book" w:hAnsi="Avenir Book"/>
          <w:color w:val="000000"/>
          <w:sz w:val="21"/>
          <w:szCs w:val="21"/>
          <w:lang w:val="en-GB"/>
        </w:rPr>
        <w:t>3. Double-Storey Rear Extensions (Restricted Category)</w:t>
      </w:r>
    </w:p>
    <w:p w14:paraId="2241A732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A double-storey rear extension is more limited under PD and is only potentially achievable if:</w:t>
      </w:r>
    </w:p>
    <w:p w14:paraId="4BB7DB5E" w14:textId="77777777" w:rsidR="00E642DF" w:rsidRPr="00480D02" w:rsidRDefault="00E642DF" w:rsidP="00E642DF">
      <w:pPr>
        <w:pStyle w:val="NormalWeb"/>
        <w:numPr>
          <w:ilvl w:val="0"/>
          <w:numId w:val="14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It extends no more than 3 metres beyond the original rear wall</w:t>
      </w:r>
    </w:p>
    <w:p w14:paraId="67677372" w14:textId="77777777" w:rsidR="00E642DF" w:rsidRPr="00480D02" w:rsidRDefault="00E642DF" w:rsidP="00E642DF">
      <w:pPr>
        <w:pStyle w:val="NormalWeb"/>
        <w:numPr>
          <w:ilvl w:val="0"/>
          <w:numId w:val="14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It is at least 7 metres from the rear boundary</w:t>
      </w:r>
    </w:p>
    <w:p w14:paraId="06C4D581" w14:textId="77777777" w:rsidR="00E642DF" w:rsidRPr="00480D02" w:rsidRDefault="00E642DF" w:rsidP="00E642DF">
      <w:pPr>
        <w:pStyle w:val="NormalWeb"/>
        <w:numPr>
          <w:ilvl w:val="0"/>
          <w:numId w:val="14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It does not exceed the height of the existing dwelling</w:t>
      </w:r>
    </w:p>
    <w:p w14:paraId="483F575B" w14:textId="5842A662" w:rsidR="00E642DF" w:rsidRPr="00480D02" w:rsidRDefault="00E642DF" w:rsidP="00E642DF">
      <w:pPr>
        <w:pStyle w:val="NormalWeb"/>
        <w:numPr>
          <w:ilvl w:val="0"/>
          <w:numId w:val="14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 xml:space="preserve">Side-facing upper windows are obscure glazed and non-opening below </w:t>
      </w:r>
      <w:r w:rsidR="00C27F25">
        <w:rPr>
          <w:rFonts w:ascii="Avenir Book" w:hAnsi="Avenir Book"/>
          <w:color w:val="000000"/>
          <w:sz w:val="21"/>
          <w:szCs w:val="21"/>
        </w:rPr>
        <w:t xml:space="preserve">the </w:t>
      </w:r>
      <w:r w:rsidRPr="00480D02">
        <w:rPr>
          <w:rFonts w:ascii="Avenir Book" w:hAnsi="Avenir Book"/>
          <w:color w:val="000000"/>
          <w:sz w:val="21"/>
          <w:szCs w:val="21"/>
        </w:rPr>
        <w:t>prescribed height</w:t>
      </w:r>
    </w:p>
    <w:p w14:paraId="41071F51" w14:textId="67706389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In many urban plots, double-storey extensions frequently require full planning permission.</w:t>
      </w:r>
    </w:p>
    <w:p w14:paraId="4949376C" w14:textId="77777777" w:rsidR="00E642DF" w:rsidRPr="00480D02" w:rsidRDefault="00A32D21" w:rsidP="00E642DF">
      <w:pPr>
        <w:rPr>
          <w:rFonts w:ascii="Avenir Book" w:hAnsi="Avenir Book"/>
          <w:sz w:val="21"/>
          <w:szCs w:val="21"/>
          <w:lang w:val="en-GB"/>
        </w:rPr>
      </w:pPr>
      <w:r w:rsidRPr="00A32D21">
        <w:rPr>
          <w:rFonts w:ascii="Avenir Book" w:hAnsi="Avenir Book"/>
          <w:noProof/>
          <w:sz w:val="21"/>
          <w:szCs w:val="21"/>
          <w:lang w:val="en-GB"/>
        </w:rPr>
        <w:pict w14:anchorId="7DB83CA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8E011A3" w14:textId="77777777" w:rsidR="00E642DF" w:rsidRPr="00480D02" w:rsidRDefault="00E642DF" w:rsidP="00E642DF">
      <w:pPr>
        <w:pStyle w:val="Heading2"/>
        <w:rPr>
          <w:rFonts w:ascii="Avenir Book" w:hAnsi="Avenir Book"/>
          <w:color w:val="000000"/>
          <w:sz w:val="21"/>
          <w:szCs w:val="21"/>
          <w:lang w:val="en-GB"/>
        </w:rPr>
      </w:pPr>
      <w:r w:rsidRPr="00480D02">
        <w:rPr>
          <w:rFonts w:ascii="Avenir Book" w:hAnsi="Avenir Book"/>
          <w:color w:val="000000"/>
          <w:sz w:val="21"/>
          <w:szCs w:val="21"/>
          <w:lang w:val="en-GB"/>
        </w:rPr>
        <w:t>4. Side Extensions (Highly Conditional)</w:t>
      </w:r>
    </w:p>
    <w:p w14:paraId="6711672A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A side extension may be possible under PD only where:</w:t>
      </w:r>
    </w:p>
    <w:p w14:paraId="21AFA501" w14:textId="77777777" w:rsidR="00E642DF" w:rsidRPr="00480D02" w:rsidRDefault="00E642DF" w:rsidP="00E642DF">
      <w:pPr>
        <w:pStyle w:val="NormalWeb"/>
        <w:numPr>
          <w:ilvl w:val="0"/>
          <w:numId w:val="15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It is single-storey</w:t>
      </w:r>
    </w:p>
    <w:p w14:paraId="6A59DCAB" w14:textId="77777777" w:rsidR="00E642DF" w:rsidRPr="00480D02" w:rsidRDefault="00E642DF" w:rsidP="00E642DF">
      <w:pPr>
        <w:pStyle w:val="NormalWeb"/>
        <w:numPr>
          <w:ilvl w:val="0"/>
          <w:numId w:val="15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It does not exceed half the width of the original dwelling</w:t>
      </w:r>
    </w:p>
    <w:p w14:paraId="14738D00" w14:textId="77777777" w:rsidR="00E642DF" w:rsidRPr="00480D02" w:rsidRDefault="00E642DF" w:rsidP="00E642DF">
      <w:pPr>
        <w:pStyle w:val="NormalWeb"/>
        <w:numPr>
          <w:ilvl w:val="0"/>
          <w:numId w:val="15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It does not project beyond the principal elevation</w:t>
      </w:r>
    </w:p>
    <w:p w14:paraId="2FF4FCA9" w14:textId="77777777" w:rsidR="00E642DF" w:rsidRPr="00480D02" w:rsidRDefault="00E642DF" w:rsidP="00E642DF">
      <w:pPr>
        <w:pStyle w:val="NormalWeb"/>
        <w:numPr>
          <w:ilvl w:val="0"/>
          <w:numId w:val="15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Height limits are complied with (particularly near boundaries)</w:t>
      </w:r>
    </w:p>
    <w:p w14:paraId="648DBA0E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If the extension projects forward of the principal elevation or materially alters the street-facing appearance, planning permission is typically required.</w:t>
      </w:r>
    </w:p>
    <w:p w14:paraId="2C27A30C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Side extensions are commonly subject to stricter scrutiny and may require formal planning approval depending on design and visibility.</w:t>
      </w:r>
    </w:p>
    <w:p w14:paraId="07A6D5C9" w14:textId="77777777" w:rsidR="00E642DF" w:rsidRPr="00480D02" w:rsidRDefault="00A32D21" w:rsidP="00E642DF">
      <w:pPr>
        <w:rPr>
          <w:rFonts w:ascii="Avenir Book" w:hAnsi="Avenir Book"/>
          <w:sz w:val="21"/>
          <w:szCs w:val="21"/>
          <w:lang w:val="en-GB"/>
        </w:rPr>
      </w:pPr>
      <w:r w:rsidRPr="00A32D21">
        <w:rPr>
          <w:rFonts w:ascii="Avenir Book" w:hAnsi="Avenir Book"/>
          <w:noProof/>
          <w:sz w:val="21"/>
          <w:szCs w:val="21"/>
          <w:lang w:val="en-GB"/>
        </w:rPr>
        <w:pict w14:anchorId="49152CB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8A094C" w14:textId="77777777" w:rsidR="00C27F25" w:rsidRDefault="00C27F25" w:rsidP="00E642DF">
      <w:pPr>
        <w:pStyle w:val="Heading1"/>
        <w:rPr>
          <w:rFonts w:ascii="Avenir Book" w:hAnsi="Avenir Book"/>
          <w:color w:val="000000"/>
          <w:sz w:val="21"/>
          <w:szCs w:val="21"/>
          <w:lang w:val="en-GB"/>
        </w:rPr>
      </w:pPr>
    </w:p>
    <w:p w14:paraId="26642C01" w14:textId="5BBE3F2A" w:rsidR="00E642DF" w:rsidRPr="00480D02" w:rsidRDefault="00E642DF" w:rsidP="00E642DF">
      <w:pPr>
        <w:pStyle w:val="Heading1"/>
        <w:rPr>
          <w:rFonts w:ascii="Avenir Book" w:hAnsi="Avenir Book"/>
          <w:color w:val="000000"/>
          <w:sz w:val="21"/>
          <w:szCs w:val="21"/>
          <w:lang w:val="en-GB"/>
        </w:rPr>
      </w:pPr>
      <w:r w:rsidRPr="00480D02">
        <w:rPr>
          <w:rFonts w:ascii="Avenir Book" w:hAnsi="Avenir Book"/>
          <w:color w:val="000000"/>
          <w:sz w:val="21"/>
          <w:szCs w:val="21"/>
          <w:lang w:val="en-GB"/>
        </w:rPr>
        <w:t>Important Clarification</w:t>
      </w:r>
    </w:p>
    <w:p w14:paraId="6BF8EDBD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Permitted Development is rule-based legislation.</w:t>
      </w:r>
    </w:p>
    <w:p w14:paraId="47C56186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If a proposal complies fully with all statutory limits, neighbour objections alone do not remove PD rights.</w:t>
      </w:r>
    </w:p>
    <w:p w14:paraId="7A3B20E0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However:</w:t>
      </w:r>
    </w:p>
    <w:p w14:paraId="4969315A" w14:textId="77777777" w:rsidR="00E642DF" w:rsidRPr="00480D02" w:rsidRDefault="00E642DF" w:rsidP="00E642DF">
      <w:pPr>
        <w:pStyle w:val="NormalWeb"/>
        <w:numPr>
          <w:ilvl w:val="0"/>
          <w:numId w:val="16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Non-compliance with any single condition may require full planning permission.</w:t>
      </w:r>
    </w:p>
    <w:p w14:paraId="63972CD3" w14:textId="77777777" w:rsidR="00E642DF" w:rsidRPr="00480D02" w:rsidRDefault="00E642DF" w:rsidP="00E642DF">
      <w:pPr>
        <w:pStyle w:val="NormalWeb"/>
        <w:numPr>
          <w:ilvl w:val="0"/>
          <w:numId w:val="16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Conservation areas, Article 4 Directions, listed building status or historic planning conditions may remove or restrict PD rights.</w:t>
      </w:r>
    </w:p>
    <w:p w14:paraId="399F8068" w14:textId="77777777" w:rsidR="00E642DF" w:rsidRPr="00480D02" w:rsidRDefault="00E642DF" w:rsidP="00E642DF">
      <w:pPr>
        <w:pStyle w:val="NormalWeb"/>
        <w:numPr>
          <w:ilvl w:val="0"/>
          <w:numId w:val="16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Detailed design drawings are required to determine compliance.</w:t>
      </w:r>
    </w:p>
    <w:p w14:paraId="370DE2E2" w14:textId="77777777" w:rsidR="00E642DF" w:rsidRPr="00480D02" w:rsidRDefault="00E642DF" w:rsidP="00E642DF">
      <w:pPr>
        <w:pStyle w:val="NormalWeb"/>
        <w:numPr>
          <w:ilvl w:val="0"/>
          <w:numId w:val="16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Building Regulations approval is always required separately.</w:t>
      </w:r>
    </w:p>
    <w:p w14:paraId="2AC5CE6C" w14:textId="77777777" w:rsidR="00E642DF" w:rsidRPr="00480D02" w:rsidRDefault="00A32D21" w:rsidP="00E642DF">
      <w:pPr>
        <w:rPr>
          <w:rFonts w:ascii="Avenir Book" w:hAnsi="Avenir Book"/>
          <w:sz w:val="21"/>
          <w:szCs w:val="21"/>
          <w:lang w:val="en-GB"/>
        </w:rPr>
      </w:pPr>
      <w:r w:rsidRPr="00A32D21">
        <w:rPr>
          <w:rFonts w:ascii="Avenir Book" w:hAnsi="Avenir Book"/>
          <w:noProof/>
          <w:sz w:val="21"/>
          <w:szCs w:val="21"/>
          <w:lang w:val="en-GB"/>
        </w:rPr>
        <w:pict w14:anchorId="373CBB1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8CC24E" w14:textId="77777777" w:rsidR="00E642DF" w:rsidRPr="00480D02" w:rsidRDefault="00E642DF" w:rsidP="00E642DF">
      <w:pPr>
        <w:pStyle w:val="Heading1"/>
        <w:rPr>
          <w:rFonts w:ascii="Avenir Book" w:hAnsi="Avenir Book"/>
          <w:color w:val="000000"/>
          <w:sz w:val="21"/>
          <w:szCs w:val="21"/>
          <w:lang w:val="en-GB"/>
        </w:rPr>
      </w:pPr>
      <w:r w:rsidRPr="00480D02">
        <w:rPr>
          <w:rFonts w:ascii="Avenir Book" w:hAnsi="Avenir Book"/>
          <w:color w:val="000000"/>
          <w:sz w:val="21"/>
          <w:szCs w:val="21"/>
          <w:lang w:val="en-GB"/>
        </w:rPr>
        <w:t>Professional Recommendation</w:t>
      </w:r>
    </w:p>
    <w:p w14:paraId="1006DF3D" w14:textId="77777777" w:rsidR="00E642DF" w:rsidRPr="00480D02" w:rsidRDefault="00E642DF" w:rsidP="00E642DF">
      <w:pPr>
        <w:pStyle w:val="NormalWeb"/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Before commencing works, it is strongly recommended that:</w:t>
      </w:r>
    </w:p>
    <w:p w14:paraId="72AEE3C7" w14:textId="223CFBC1" w:rsidR="00E642DF" w:rsidRPr="00480D02" w:rsidRDefault="00E642DF" w:rsidP="00E642DF">
      <w:pPr>
        <w:pStyle w:val="NormalWeb"/>
        <w:numPr>
          <w:ilvl w:val="0"/>
          <w:numId w:val="17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A detailed compliance assessment is carried out by a qualified professional</w:t>
      </w:r>
      <w:r w:rsidR="00C27F25">
        <w:rPr>
          <w:rFonts w:ascii="Avenir Book" w:hAnsi="Avenir Book"/>
          <w:color w:val="000000"/>
          <w:sz w:val="21"/>
          <w:szCs w:val="21"/>
        </w:rPr>
        <w:t>,</w:t>
      </w:r>
      <w:r w:rsidRPr="00480D02">
        <w:rPr>
          <w:rFonts w:ascii="Avenir Book" w:hAnsi="Avenir Book"/>
          <w:color w:val="000000"/>
          <w:sz w:val="21"/>
          <w:szCs w:val="21"/>
        </w:rPr>
        <w:t xml:space="preserve"> and</w:t>
      </w:r>
    </w:p>
    <w:p w14:paraId="3A652C9C" w14:textId="77777777" w:rsidR="00E642DF" w:rsidRPr="00480D02" w:rsidRDefault="00E642DF" w:rsidP="00E642DF">
      <w:pPr>
        <w:pStyle w:val="NormalWeb"/>
        <w:numPr>
          <w:ilvl w:val="0"/>
          <w:numId w:val="17"/>
        </w:numPr>
        <w:rPr>
          <w:rFonts w:ascii="Avenir Book" w:hAnsi="Avenir Book"/>
          <w:color w:val="000000"/>
          <w:sz w:val="21"/>
          <w:szCs w:val="21"/>
        </w:rPr>
      </w:pPr>
      <w:r w:rsidRPr="00480D02">
        <w:rPr>
          <w:rFonts w:ascii="Avenir Book" w:hAnsi="Avenir Book"/>
          <w:color w:val="000000"/>
          <w:sz w:val="21"/>
          <w:szCs w:val="21"/>
        </w:rPr>
        <w:t>A Lawful Development Certificate (LDC) is obtained from the local authority to formally confirm PD compliance.</w:t>
      </w:r>
    </w:p>
    <w:p w14:paraId="566D40B3" w14:textId="77777777" w:rsidR="00E642DF" w:rsidRPr="00480D02" w:rsidRDefault="00A32D21" w:rsidP="00E642DF">
      <w:pPr>
        <w:rPr>
          <w:rFonts w:ascii="Avenir Book" w:hAnsi="Avenir Book"/>
          <w:sz w:val="21"/>
          <w:szCs w:val="21"/>
          <w:lang w:val="en-GB"/>
        </w:rPr>
      </w:pPr>
      <w:r w:rsidRPr="00A32D21">
        <w:rPr>
          <w:rFonts w:ascii="Avenir Book" w:hAnsi="Avenir Book"/>
          <w:noProof/>
          <w:sz w:val="21"/>
          <w:szCs w:val="21"/>
          <w:lang w:val="en-GB"/>
        </w:rPr>
        <w:pict w14:anchorId="0A68940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A24D50" w14:textId="77777777" w:rsidR="007423A0" w:rsidRPr="00624D40" w:rsidRDefault="007423A0">
      <w:pPr>
        <w:rPr>
          <w:rFonts w:ascii="Avenir Book" w:hAnsi="Avenir Book"/>
          <w:sz w:val="21"/>
          <w:szCs w:val="21"/>
          <w:lang w:val="en-GB"/>
        </w:rPr>
      </w:pPr>
    </w:p>
    <w:p w14:paraId="5C7CC7CF" w14:textId="77777777" w:rsidR="007423A0" w:rsidRPr="00624D40" w:rsidRDefault="00000000">
      <w:pPr>
        <w:pStyle w:val="Heading2"/>
        <w:rPr>
          <w:rFonts w:ascii="Avenir Book" w:hAnsi="Avenir Book"/>
          <w:color w:val="auto"/>
          <w:sz w:val="21"/>
          <w:szCs w:val="21"/>
          <w:lang w:val="en-GB"/>
        </w:rPr>
      </w:pPr>
      <w:r w:rsidRPr="00624D40">
        <w:rPr>
          <w:rFonts w:ascii="Avenir Book" w:hAnsi="Avenir Book"/>
          <w:color w:val="auto"/>
          <w:sz w:val="21"/>
          <w:szCs w:val="21"/>
          <w:lang w:val="en-GB"/>
        </w:rPr>
        <w:t>Official Guidance</w:t>
      </w:r>
    </w:p>
    <w:p w14:paraId="645ECABD" w14:textId="032EACDD" w:rsidR="007423A0" w:rsidRPr="00480D02" w:rsidRDefault="00000000">
      <w:pPr>
        <w:rPr>
          <w:rFonts w:ascii="Avenir Book" w:hAnsi="Avenir Book"/>
          <w:sz w:val="21"/>
          <w:szCs w:val="21"/>
          <w:lang w:val="en-GB"/>
        </w:rPr>
      </w:pPr>
      <w:r w:rsidRPr="00480D02">
        <w:rPr>
          <w:rFonts w:ascii="Avenir Book" w:hAnsi="Avenir Book"/>
          <w:sz w:val="21"/>
          <w:szCs w:val="21"/>
          <w:lang w:val="en-GB"/>
        </w:rPr>
        <w:t>For full legislative detail, please refer to</w:t>
      </w:r>
      <w:r w:rsidR="00624D40">
        <w:rPr>
          <w:rFonts w:ascii="Avenir Book" w:hAnsi="Avenir Book"/>
          <w:sz w:val="21"/>
          <w:szCs w:val="21"/>
          <w:lang w:val="en-GB"/>
        </w:rPr>
        <w:t xml:space="preserve"> </w:t>
      </w:r>
      <w:r w:rsidR="00624D40" w:rsidRPr="00624D40">
        <w:rPr>
          <w:rFonts w:ascii="Avenir Book" w:hAnsi="Avenir Book"/>
          <w:sz w:val="21"/>
          <w:szCs w:val="21"/>
          <w:lang w:val="en-GB"/>
        </w:rPr>
        <w:t xml:space="preserve">Permitted </w:t>
      </w:r>
      <w:r w:rsidR="00624D40">
        <w:rPr>
          <w:rFonts w:ascii="Avenir Book" w:hAnsi="Avenir Book"/>
          <w:sz w:val="21"/>
          <w:szCs w:val="21"/>
          <w:lang w:val="en-GB"/>
        </w:rPr>
        <w:t>d</w:t>
      </w:r>
      <w:r w:rsidR="00624D40" w:rsidRPr="00624D40">
        <w:rPr>
          <w:rFonts w:ascii="Avenir Book" w:hAnsi="Avenir Book"/>
          <w:sz w:val="21"/>
          <w:szCs w:val="21"/>
          <w:lang w:val="en-GB"/>
        </w:rPr>
        <w:t>evelopment rights for</w:t>
      </w:r>
      <w:r w:rsidR="00624D40">
        <w:rPr>
          <w:rFonts w:ascii="Avenir Book" w:hAnsi="Avenir Book"/>
          <w:sz w:val="21"/>
          <w:szCs w:val="21"/>
          <w:lang w:val="en-GB"/>
        </w:rPr>
        <w:t xml:space="preserve"> </w:t>
      </w:r>
      <w:r w:rsidR="00624D40" w:rsidRPr="00624D40">
        <w:rPr>
          <w:rFonts w:ascii="Avenir Book" w:hAnsi="Avenir Book"/>
          <w:sz w:val="21"/>
          <w:szCs w:val="21"/>
          <w:lang w:val="en-GB"/>
        </w:rPr>
        <w:t>householders</w:t>
      </w:r>
      <w:r w:rsidR="00624D40">
        <w:rPr>
          <w:rFonts w:ascii="Avenir Book" w:hAnsi="Avenir Book"/>
          <w:sz w:val="21"/>
          <w:szCs w:val="21"/>
          <w:lang w:val="en-GB"/>
        </w:rPr>
        <w:t xml:space="preserve"> - </w:t>
      </w:r>
      <w:r w:rsidR="00624D40" w:rsidRPr="00624D40">
        <w:rPr>
          <w:rFonts w:ascii="Avenir Book" w:hAnsi="Avenir Book"/>
          <w:sz w:val="21"/>
          <w:szCs w:val="21"/>
          <w:lang w:val="en-GB"/>
        </w:rPr>
        <w:t>Technical Guidance</w:t>
      </w:r>
      <w:r w:rsidR="00624D40">
        <w:rPr>
          <w:rFonts w:ascii="Avenir Book" w:hAnsi="Avenir Book"/>
          <w:sz w:val="21"/>
          <w:szCs w:val="21"/>
          <w:lang w:val="en-GB"/>
        </w:rPr>
        <w:t xml:space="preserve">: </w:t>
      </w:r>
      <w:hyperlink r:id="rId6" w:history="1">
        <w:r w:rsidR="00624D40" w:rsidRPr="002A583C">
          <w:rPr>
            <w:rStyle w:val="Hyperlink"/>
            <w:rFonts w:ascii="Avenir Book" w:hAnsi="Avenir Book"/>
            <w:sz w:val="21"/>
            <w:szCs w:val="21"/>
            <w:lang w:val="en-GB"/>
          </w:rPr>
          <w:t>https://assets.publishing.service.gov.uk/media/</w:t>
        </w:r>
        <w:r w:rsidR="00624D40" w:rsidRPr="002A583C">
          <w:rPr>
            <w:rStyle w:val="Hyperlink"/>
            <w:rFonts w:ascii="Avenir Book" w:hAnsi="Avenir Book"/>
            <w:sz w:val="21"/>
            <w:szCs w:val="21"/>
            <w:lang w:val="en-GB"/>
          </w:rPr>
          <w:t>5</w:t>
        </w:r>
        <w:r w:rsidR="00624D40" w:rsidRPr="002A583C">
          <w:rPr>
            <w:rStyle w:val="Hyperlink"/>
            <w:rFonts w:ascii="Avenir Book" w:hAnsi="Avenir Book"/>
            <w:sz w:val="21"/>
            <w:szCs w:val="21"/>
            <w:lang w:val="en-GB"/>
          </w:rPr>
          <w:t>d77afc8e5274a27cdb2c9e9/190910_Tech_Guide_for_publishing.pdf</w:t>
        </w:r>
      </w:hyperlink>
      <w:r w:rsidR="00624D40">
        <w:rPr>
          <w:rFonts w:ascii="Avenir Book" w:hAnsi="Avenir Book"/>
          <w:sz w:val="21"/>
          <w:szCs w:val="21"/>
          <w:lang w:val="en-GB"/>
        </w:rPr>
        <w:t xml:space="preserve"> </w:t>
      </w:r>
    </w:p>
    <w:sectPr w:rsidR="007423A0" w:rsidRPr="00480D02" w:rsidSect="00480D02">
      <w:pgSz w:w="12240" w:h="15840"/>
      <w:pgMar w:top="1440" w:right="942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E459A"/>
    <w:multiLevelType w:val="multilevel"/>
    <w:tmpl w:val="C87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178DA"/>
    <w:multiLevelType w:val="multilevel"/>
    <w:tmpl w:val="112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00EFE"/>
    <w:multiLevelType w:val="multilevel"/>
    <w:tmpl w:val="91E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80F33"/>
    <w:multiLevelType w:val="multilevel"/>
    <w:tmpl w:val="74A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F2B22"/>
    <w:multiLevelType w:val="multilevel"/>
    <w:tmpl w:val="F54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C0B17"/>
    <w:multiLevelType w:val="multilevel"/>
    <w:tmpl w:val="598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00500"/>
    <w:multiLevelType w:val="multilevel"/>
    <w:tmpl w:val="E87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A5F15"/>
    <w:multiLevelType w:val="multilevel"/>
    <w:tmpl w:val="E93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995454">
    <w:abstractNumId w:val="8"/>
  </w:num>
  <w:num w:numId="2" w16cid:durableId="1428619310">
    <w:abstractNumId w:val="6"/>
  </w:num>
  <w:num w:numId="3" w16cid:durableId="959991221">
    <w:abstractNumId w:val="5"/>
  </w:num>
  <w:num w:numId="4" w16cid:durableId="297148532">
    <w:abstractNumId w:val="4"/>
  </w:num>
  <w:num w:numId="5" w16cid:durableId="1335499505">
    <w:abstractNumId w:val="7"/>
  </w:num>
  <w:num w:numId="6" w16cid:durableId="1394425855">
    <w:abstractNumId w:val="3"/>
  </w:num>
  <w:num w:numId="7" w16cid:durableId="842278587">
    <w:abstractNumId w:val="2"/>
  </w:num>
  <w:num w:numId="8" w16cid:durableId="1971475127">
    <w:abstractNumId w:val="1"/>
  </w:num>
  <w:num w:numId="9" w16cid:durableId="1627545921">
    <w:abstractNumId w:val="0"/>
  </w:num>
  <w:num w:numId="10" w16cid:durableId="844436339">
    <w:abstractNumId w:val="12"/>
  </w:num>
  <w:num w:numId="11" w16cid:durableId="1811557453">
    <w:abstractNumId w:val="15"/>
  </w:num>
  <w:num w:numId="12" w16cid:durableId="463889554">
    <w:abstractNumId w:val="11"/>
  </w:num>
  <w:num w:numId="13" w16cid:durableId="1935548631">
    <w:abstractNumId w:val="9"/>
  </w:num>
  <w:num w:numId="14" w16cid:durableId="1650744224">
    <w:abstractNumId w:val="10"/>
  </w:num>
  <w:num w:numId="15" w16cid:durableId="1866358292">
    <w:abstractNumId w:val="14"/>
  </w:num>
  <w:num w:numId="16" w16cid:durableId="536167536">
    <w:abstractNumId w:val="16"/>
  </w:num>
  <w:num w:numId="17" w16cid:durableId="13890641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D02"/>
    <w:rsid w:val="005C1F40"/>
    <w:rsid w:val="00624D40"/>
    <w:rsid w:val="007423A0"/>
    <w:rsid w:val="00A32D21"/>
    <w:rsid w:val="00AA1D8D"/>
    <w:rsid w:val="00B47730"/>
    <w:rsid w:val="00C27F25"/>
    <w:rsid w:val="00CB0664"/>
    <w:rsid w:val="00E64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11453"/>
  <w14:defaultImageDpi w14:val="300"/>
  <w15:docId w15:val="{4C1FD09A-D1C7-EF49-B9CB-BB04C19CC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6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E642DF"/>
  </w:style>
  <w:style w:type="character" w:styleId="Hyperlink">
    <w:name w:val="Hyperlink"/>
    <w:basedOn w:val="DefaultParagraphFont"/>
    <w:uiPriority w:val="99"/>
    <w:unhideWhenUsed/>
    <w:rsid w:val="00C27F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F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7F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ssets.publishing.service.gov.uk/media/5d77afc8e5274a27cdb2c9e9/190910_Tech_Guide_for_publishing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RS</cp:lastModifiedBy>
  <cp:revision>2</cp:revision>
  <dcterms:created xsi:type="dcterms:W3CDTF">2026-02-26T15:58:00Z</dcterms:created>
  <dcterms:modified xsi:type="dcterms:W3CDTF">2026-02-26T15:58:00Z</dcterms:modified>
  <cp:category/>
</cp:coreProperties>
</file>