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91076" w14:textId="2C2C2385" w:rsidR="005B7277" w:rsidRPr="00E47758" w:rsidRDefault="005739A4" w:rsidP="003377B4">
      <w:pPr>
        <w:pStyle w:val="Title"/>
        <w:jc w:val="left"/>
        <w:rPr>
          <w:b/>
          <w:bCs/>
          <w:i/>
          <w:iCs/>
          <w:sz w:val="24"/>
          <w:szCs w:val="24"/>
        </w:rPr>
      </w:pPr>
      <w:r>
        <w:rPr>
          <w:b/>
          <w:bCs/>
          <w:sz w:val="24"/>
          <w:szCs w:val="24"/>
        </w:rPr>
        <w:t>Neighborhood</w:t>
      </w:r>
      <w:r w:rsidR="00427A46">
        <w:rPr>
          <w:b/>
          <w:bCs/>
          <w:sz w:val="24"/>
          <w:szCs w:val="24"/>
        </w:rPr>
        <w:t xml:space="preserve"> </w:t>
      </w:r>
      <w:r>
        <w:rPr>
          <w:b/>
          <w:bCs/>
          <w:sz w:val="24"/>
          <w:szCs w:val="24"/>
        </w:rPr>
        <w:t>Property Value Analysis</w:t>
      </w:r>
    </w:p>
    <w:p w14:paraId="44F0B7A7" w14:textId="53BA1693" w:rsidR="005B7277" w:rsidRPr="00E47758" w:rsidRDefault="00D34188" w:rsidP="003377B4">
      <w:pPr>
        <w:pStyle w:val="Heading1"/>
        <w:rPr>
          <w:sz w:val="24"/>
          <w:szCs w:val="24"/>
        </w:rPr>
      </w:pPr>
      <w:r w:rsidRPr="00E47758">
        <w:rPr>
          <w:sz w:val="24"/>
          <w:szCs w:val="24"/>
        </w:rPr>
        <w:t>Introduction</w:t>
      </w:r>
    </w:p>
    <w:p w14:paraId="4F00B6E7" w14:textId="617D7255" w:rsidR="004971AD" w:rsidRDefault="004971AD" w:rsidP="003377B4">
      <w:pPr>
        <w:rPr>
          <w:rFonts w:ascii="Cambria" w:hAnsi="Cambria"/>
        </w:rPr>
      </w:pPr>
      <w:r w:rsidRPr="66EBE839">
        <w:rPr>
          <w:rFonts w:ascii="Cambria" w:hAnsi="Cambria"/>
        </w:rPr>
        <w:t xml:space="preserve">The South St. Petersburg Community Redevelopment Area (CRA), which was founded in 2015, set out to revitalize the City of St. Petersburg. This project's main goal is to evaluate the effects of the CRA by looking at past trends in property values after its creation. </w:t>
      </w:r>
      <w:r w:rsidR="000D533F" w:rsidRPr="66EBE839">
        <w:rPr>
          <w:rFonts w:ascii="Cambria" w:hAnsi="Cambria"/>
        </w:rPr>
        <w:t xml:space="preserve">There </w:t>
      </w:r>
      <w:r w:rsidR="00F30A5B" w:rsidRPr="66EBE839">
        <w:rPr>
          <w:rFonts w:ascii="Cambria" w:hAnsi="Cambria"/>
        </w:rPr>
        <w:t>are two years of data available</w:t>
      </w:r>
      <w:r w:rsidR="4ACFDD9E" w:rsidRPr="66EBE839">
        <w:rPr>
          <w:rFonts w:ascii="Cambria" w:hAnsi="Cambria"/>
        </w:rPr>
        <w:t>,</w:t>
      </w:r>
      <w:r w:rsidR="00F30A5B" w:rsidRPr="66EBE839">
        <w:rPr>
          <w:rFonts w:ascii="Cambria" w:hAnsi="Cambria"/>
        </w:rPr>
        <w:t xml:space="preserve"> 2015 and 2022.</w:t>
      </w:r>
      <w:r w:rsidR="20447814" w:rsidRPr="66EBE839">
        <w:rPr>
          <w:rFonts w:ascii="Cambria" w:eastAsia="Cambria" w:hAnsi="Cambria" w:cs="Cambria"/>
        </w:rPr>
        <w:t xml:space="preserve"> With this </w:t>
      </w:r>
      <w:r w:rsidR="08E47830" w:rsidRPr="66EBE839">
        <w:rPr>
          <w:rFonts w:ascii="Cambria" w:eastAsia="Cambria" w:hAnsi="Cambria" w:cs="Cambria"/>
        </w:rPr>
        <w:t>data</w:t>
      </w:r>
      <w:r w:rsidR="20447814" w:rsidRPr="66EBE839">
        <w:rPr>
          <w:rFonts w:ascii="Cambria" w:eastAsia="Cambria" w:hAnsi="Cambria" w:cs="Cambria"/>
        </w:rPr>
        <w:t>, we seek to identify property value changes based on neighborhoods and property type, as well as identify high value neighborhoods and growth rates to better inform strategic decisions by the city of St.</w:t>
      </w:r>
      <w:r>
        <w:br/>
      </w:r>
      <w:r w:rsidR="20447814" w:rsidRPr="66EBE839">
        <w:rPr>
          <w:rFonts w:ascii="Cambria" w:eastAsia="Cambria" w:hAnsi="Cambria" w:cs="Cambria"/>
        </w:rPr>
        <w:t>Pete for redevelopment investments through direct analysis results and interactive visualizations made using Tableau public.</w:t>
      </w:r>
      <w:r w:rsidRPr="66EBE839">
        <w:rPr>
          <w:rFonts w:ascii="Cambria" w:hAnsi="Cambria"/>
        </w:rPr>
        <w:t xml:space="preserve"> </w:t>
      </w:r>
    </w:p>
    <w:p w14:paraId="3F26EDD9" w14:textId="56A00C69" w:rsidR="66EBE839" w:rsidRDefault="66EBE839" w:rsidP="003377B4">
      <w:pPr>
        <w:rPr>
          <w:rFonts w:ascii="Cambria" w:hAnsi="Cambria"/>
        </w:rPr>
      </w:pPr>
    </w:p>
    <w:p w14:paraId="246D38F5" w14:textId="14AD6E02" w:rsidR="00950F16" w:rsidRPr="00E47758" w:rsidRDefault="00E47758" w:rsidP="003377B4">
      <w:pPr>
        <w:rPr>
          <w:rFonts w:ascii="Cambria" w:hAnsi="Cambria"/>
          <w:b/>
          <w:bCs/>
          <w:i/>
          <w:iCs/>
        </w:rPr>
      </w:pPr>
      <w:r w:rsidRPr="66EBE839">
        <w:rPr>
          <w:rFonts w:ascii="Cambria" w:hAnsi="Cambria"/>
          <w:b/>
          <w:bCs/>
        </w:rPr>
        <w:t>Research Question for project:</w:t>
      </w:r>
    </w:p>
    <w:p w14:paraId="2630295C" w14:textId="05080F2C" w:rsidR="66EBE839" w:rsidRDefault="66EBE839" w:rsidP="003377B4">
      <w:pPr>
        <w:rPr>
          <w:rFonts w:ascii="Cambria" w:hAnsi="Cambria"/>
        </w:rPr>
      </w:pPr>
    </w:p>
    <w:p w14:paraId="1E144C8E" w14:textId="59A4A631" w:rsidR="00E47758" w:rsidRPr="00E47758" w:rsidRDefault="00E47758" w:rsidP="003377B4">
      <w:pPr>
        <w:rPr>
          <w:rFonts w:ascii="Cambria" w:hAnsi="Cambria"/>
          <w:i/>
          <w:iCs/>
        </w:rPr>
      </w:pPr>
      <w:r w:rsidRPr="66EBE839">
        <w:rPr>
          <w:rFonts w:ascii="Cambria" w:hAnsi="Cambria"/>
        </w:rPr>
        <w:t xml:space="preserve">How have taxable property values changed in specific neighborhoods within the South St. Petersburg Community Redevelopment Area from 2015 to 2022, and what factors, such as property type and homesteading status, have influenced these changes, </w:t>
      </w:r>
      <w:r w:rsidR="7E924DC0" w:rsidRPr="66EBE839">
        <w:rPr>
          <w:rFonts w:ascii="Cambria" w:hAnsi="Cambria"/>
        </w:rPr>
        <w:t>guiding</w:t>
      </w:r>
      <w:r w:rsidRPr="66EBE839">
        <w:rPr>
          <w:rFonts w:ascii="Cambria" w:hAnsi="Cambria"/>
        </w:rPr>
        <w:t xml:space="preserve"> future investment and development strategies in the</w:t>
      </w:r>
      <w:r w:rsidR="003377B4">
        <w:rPr>
          <w:rFonts w:ascii="Cambria" w:hAnsi="Cambria"/>
        </w:rPr>
        <w:t xml:space="preserve"> </w:t>
      </w:r>
      <w:r w:rsidRPr="66EBE839">
        <w:rPr>
          <w:rFonts w:ascii="Cambria" w:hAnsi="Cambria"/>
        </w:rPr>
        <w:t>city.</w:t>
      </w:r>
      <w:r>
        <w:br/>
      </w:r>
    </w:p>
    <w:p w14:paraId="36400E47" w14:textId="52FEF78A" w:rsidR="00A4799E" w:rsidRPr="00A4799E" w:rsidRDefault="00A4799E" w:rsidP="003377B4">
      <w:pPr>
        <w:rPr>
          <w:rFonts w:ascii="Cambria" w:hAnsi="Cambria"/>
          <w:i/>
          <w:iCs/>
        </w:rPr>
      </w:pPr>
      <w:r w:rsidRPr="66EBE839">
        <w:rPr>
          <w:rFonts w:ascii="Cambria" w:hAnsi="Cambria"/>
        </w:rPr>
        <w:t>We will be focusing specifically on 4 categories</w:t>
      </w:r>
      <w:r w:rsidR="3E7AB15F" w:rsidRPr="66EBE839">
        <w:rPr>
          <w:rFonts w:ascii="Cambria" w:hAnsi="Cambria"/>
        </w:rPr>
        <w:t>, namely</w:t>
      </w:r>
      <w:r w:rsidR="008D21DA" w:rsidRPr="66EBE839">
        <w:rPr>
          <w:rFonts w:ascii="Cambria" w:hAnsi="Cambria"/>
        </w:rPr>
        <w:t xml:space="preserve">: </w:t>
      </w:r>
    </w:p>
    <w:p w14:paraId="45FDBE5C" w14:textId="622AB2B3" w:rsidR="00A4799E" w:rsidRPr="00A4799E" w:rsidRDefault="00A4799E" w:rsidP="003377B4">
      <w:pPr>
        <w:pStyle w:val="ListParagraph"/>
        <w:numPr>
          <w:ilvl w:val="0"/>
          <w:numId w:val="5"/>
        </w:numPr>
        <w:rPr>
          <w:rFonts w:ascii="Cambria" w:hAnsi="Cambria"/>
          <w:i/>
          <w:iCs/>
        </w:rPr>
      </w:pPr>
      <w:r w:rsidRPr="00A4799E">
        <w:rPr>
          <w:rFonts w:ascii="Cambria" w:hAnsi="Cambria"/>
        </w:rPr>
        <w:t>All Properties</w:t>
      </w:r>
    </w:p>
    <w:p w14:paraId="4E5BE561" w14:textId="35B531A9" w:rsidR="00A4799E" w:rsidRPr="00A4799E" w:rsidRDefault="00A4799E" w:rsidP="003377B4">
      <w:pPr>
        <w:pStyle w:val="ListParagraph"/>
        <w:numPr>
          <w:ilvl w:val="0"/>
          <w:numId w:val="5"/>
        </w:numPr>
        <w:rPr>
          <w:rFonts w:ascii="Cambria" w:hAnsi="Cambria"/>
          <w:i/>
          <w:iCs/>
        </w:rPr>
      </w:pPr>
      <w:r w:rsidRPr="00A4799E">
        <w:rPr>
          <w:rFonts w:ascii="Cambria" w:hAnsi="Cambria"/>
        </w:rPr>
        <w:t>Strictly Residential Properties</w:t>
      </w:r>
    </w:p>
    <w:p w14:paraId="0C6D3A90" w14:textId="2B98006B" w:rsidR="00A4799E" w:rsidRPr="00A4799E" w:rsidRDefault="00A4799E" w:rsidP="003377B4">
      <w:pPr>
        <w:pStyle w:val="ListParagraph"/>
        <w:numPr>
          <w:ilvl w:val="0"/>
          <w:numId w:val="5"/>
        </w:numPr>
        <w:rPr>
          <w:rFonts w:ascii="Cambria" w:hAnsi="Cambria"/>
          <w:i/>
          <w:iCs/>
        </w:rPr>
      </w:pPr>
      <w:r w:rsidRPr="00A4799E">
        <w:rPr>
          <w:rFonts w:ascii="Cambria" w:hAnsi="Cambria"/>
        </w:rPr>
        <w:t>Single Family Residential Properties</w:t>
      </w:r>
      <w:r>
        <w:rPr>
          <w:rFonts w:ascii="Cambria" w:hAnsi="Cambria"/>
        </w:rPr>
        <w:t xml:space="preserve"> and the ones which are not homesteaded.</w:t>
      </w:r>
    </w:p>
    <w:p w14:paraId="6B277E87" w14:textId="26EE6B90" w:rsidR="00A4799E" w:rsidRPr="00A4799E" w:rsidRDefault="00A4799E" w:rsidP="003377B4">
      <w:pPr>
        <w:pStyle w:val="ListParagraph"/>
        <w:numPr>
          <w:ilvl w:val="0"/>
          <w:numId w:val="5"/>
        </w:numPr>
        <w:rPr>
          <w:rFonts w:ascii="Cambria" w:hAnsi="Cambria"/>
          <w:i/>
          <w:iCs/>
        </w:rPr>
      </w:pPr>
      <w:r w:rsidRPr="66EBE839">
        <w:rPr>
          <w:rFonts w:ascii="Cambria" w:hAnsi="Cambria"/>
        </w:rPr>
        <w:t>Single Family Residential Properties and missing middle properties.</w:t>
      </w:r>
    </w:p>
    <w:p w14:paraId="517A02E1" w14:textId="2500E47D" w:rsidR="005B7277" w:rsidRPr="00E47758" w:rsidRDefault="005B7277" w:rsidP="003377B4">
      <w:pPr>
        <w:pStyle w:val="Heading1"/>
        <w:rPr>
          <w:sz w:val="24"/>
          <w:szCs w:val="24"/>
        </w:rPr>
      </w:pPr>
      <w:r w:rsidRPr="00E47758">
        <w:rPr>
          <w:sz w:val="24"/>
          <w:szCs w:val="24"/>
        </w:rPr>
        <w:t>Methodology</w:t>
      </w:r>
    </w:p>
    <w:p w14:paraId="010F3DFD" w14:textId="77777777" w:rsidR="0092414C" w:rsidRDefault="002E380D" w:rsidP="003377B4">
      <w:pPr>
        <w:rPr>
          <w:b/>
          <w:bCs/>
          <w:color w:val="0070C0"/>
        </w:rPr>
      </w:pPr>
      <w:r w:rsidRPr="0092414C">
        <w:rPr>
          <w:rFonts w:ascii="Cambria" w:hAnsi="Cambria"/>
          <w:b/>
          <w:color w:val="0070C0"/>
        </w:rPr>
        <w:t>Description of Dataset</w:t>
      </w:r>
      <w:r w:rsidR="0051023E" w:rsidRPr="0092414C">
        <w:rPr>
          <w:rFonts w:ascii="Cambria" w:hAnsi="Cambria"/>
          <w:b/>
          <w:color w:val="0070C0"/>
        </w:rPr>
        <w:t>:</w:t>
      </w:r>
      <w:r w:rsidR="0051023E" w:rsidRPr="0092414C">
        <w:rPr>
          <w:b/>
          <w:bCs/>
          <w:color w:val="0070C0"/>
        </w:rPr>
        <w:t xml:space="preserve"> </w:t>
      </w:r>
    </w:p>
    <w:p w14:paraId="167C44C6" w14:textId="77777777" w:rsidR="0092414C" w:rsidRDefault="0092414C" w:rsidP="003377B4">
      <w:pPr>
        <w:rPr>
          <w:b/>
          <w:bCs/>
          <w:color w:val="0070C0"/>
        </w:rPr>
      </w:pPr>
    </w:p>
    <w:p w14:paraId="2689937E" w14:textId="40C9BD9F" w:rsidR="00E526B3" w:rsidRPr="0092414C" w:rsidRDefault="003621AF" w:rsidP="003377B4">
      <w:pPr>
        <w:rPr>
          <w:b/>
          <w:bCs/>
          <w:color w:val="0070C0"/>
        </w:rPr>
      </w:pPr>
      <w:r w:rsidRPr="66EBE839">
        <w:rPr>
          <w:rFonts w:ascii="Cambria" w:hAnsi="Cambria"/>
        </w:rPr>
        <w:t>The</w:t>
      </w:r>
      <w:r w:rsidR="002E380D" w:rsidRPr="66EBE839">
        <w:rPr>
          <w:rFonts w:ascii="Cambria" w:hAnsi="Cambria"/>
        </w:rPr>
        <w:t xml:space="preserve"> dataset is a comprehensive compilation of property-related information within the South St. Petersburg Community Redevelopment Area (CRA). </w:t>
      </w:r>
      <w:r w:rsidR="00C722DA" w:rsidRPr="66EBE839">
        <w:rPr>
          <w:rFonts w:ascii="Cambria" w:hAnsi="Cambria"/>
        </w:rPr>
        <w:t xml:space="preserve">We have </w:t>
      </w:r>
      <w:r w:rsidR="00AE3629" w:rsidRPr="66EBE839">
        <w:rPr>
          <w:rFonts w:ascii="Cambria" w:hAnsi="Cambria"/>
        </w:rPr>
        <w:t xml:space="preserve">data for </w:t>
      </w:r>
      <w:r w:rsidR="00C722DA" w:rsidRPr="66EBE839">
        <w:rPr>
          <w:rFonts w:ascii="Cambria" w:hAnsi="Cambria"/>
        </w:rPr>
        <w:t xml:space="preserve">2 </w:t>
      </w:r>
      <w:r w:rsidR="00AE3629" w:rsidRPr="66EBE839">
        <w:rPr>
          <w:rFonts w:ascii="Cambria" w:hAnsi="Cambria"/>
        </w:rPr>
        <w:t>years i.e., 2015 and 2022</w:t>
      </w:r>
      <w:r w:rsidR="00C722DA" w:rsidRPr="66EBE839">
        <w:rPr>
          <w:rFonts w:ascii="Cambria" w:hAnsi="Cambria"/>
        </w:rPr>
        <w:t xml:space="preserve">. </w:t>
      </w:r>
      <w:r w:rsidR="002E380D" w:rsidRPr="66EBE839">
        <w:rPr>
          <w:rFonts w:ascii="Cambria" w:hAnsi="Cambria"/>
        </w:rPr>
        <w:t>It encompasses a range of vital data, which is essential for assessing property values, understanding property usage, and discerning geographic distribution, all of which are pivotal in shaping future investment and development strategies within the city.</w:t>
      </w:r>
    </w:p>
    <w:p w14:paraId="256C82BF" w14:textId="77777777" w:rsidR="0092414C" w:rsidRPr="002E380D" w:rsidRDefault="0092414C" w:rsidP="003377B4">
      <w:pPr>
        <w:rPr>
          <w:b/>
        </w:rPr>
      </w:pPr>
    </w:p>
    <w:p w14:paraId="41BA5D03" w14:textId="77777777" w:rsidR="0092414C" w:rsidRPr="0092414C" w:rsidRDefault="0000711F" w:rsidP="003377B4">
      <w:pPr>
        <w:autoSpaceDE w:val="0"/>
        <w:autoSpaceDN w:val="0"/>
        <w:adjustRightInd w:val="0"/>
        <w:rPr>
          <w:color w:val="0070C0"/>
        </w:rPr>
      </w:pPr>
      <w:r w:rsidRPr="0092414C">
        <w:rPr>
          <w:rFonts w:ascii="Cambria" w:hAnsi="Cambria" w:cstheme="minorBidi"/>
          <w:b/>
          <w:i/>
          <w:color w:val="0070C0"/>
        </w:rPr>
        <w:t>Methodologies Used:</w:t>
      </w:r>
      <w:r w:rsidRPr="0092414C">
        <w:rPr>
          <w:color w:val="0070C0"/>
        </w:rPr>
        <w:t xml:space="preserve"> </w:t>
      </w:r>
      <w:r w:rsidR="0092414C" w:rsidRPr="0092414C">
        <w:rPr>
          <w:color w:val="0070C0"/>
        </w:rPr>
        <w:t xml:space="preserve"> </w:t>
      </w:r>
    </w:p>
    <w:p w14:paraId="7E09B477" w14:textId="77777777" w:rsidR="0092414C" w:rsidRDefault="0092414C" w:rsidP="003377B4">
      <w:pPr>
        <w:autoSpaceDE w:val="0"/>
        <w:autoSpaceDN w:val="0"/>
        <w:adjustRightInd w:val="0"/>
        <w:rPr>
          <w:color w:val="FF0000"/>
        </w:rPr>
      </w:pPr>
    </w:p>
    <w:p w14:paraId="7105674E" w14:textId="363AEB6F" w:rsidR="0000711F" w:rsidRDefault="0000711F" w:rsidP="003377B4">
      <w:pPr>
        <w:autoSpaceDE w:val="0"/>
        <w:autoSpaceDN w:val="0"/>
        <w:adjustRightInd w:val="0"/>
      </w:pPr>
      <w:r>
        <w:t xml:space="preserve">After reviewing the dataset and project requirements, we </w:t>
      </w:r>
      <w:r w:rsidR="1EA0355A">
        <w:t xml:space="preserve">spent some time analyzing the quality of data and ideating interesting ways to </w:t>
      </w:r>
      <w:r w:rsidR="3BC2A06F">
        <w:t>highlight</w:t>
      </w:r>
      <w:r w:rsidR="1EA0355A">
        <w:t xml:space="preserve"> compariso</w:t>
      </w:r>
      <w:r w:rsidR="781043B0">
        <w:t xml:space="preserve">ns </w:t>
      </w:r>
      <w:r w:rsidR="1EA0355A">
        <w:t>in property values.</w:t>
      </w:r>
      <w:r w:rsidR="59ADC7C6">
        <w:t xml:space="preserve"> To that end, we took the following steps:</w:t>
      </w:r>
    </w:p>
    <w:p w14:paraId="10D87A39" w14:textId="77777777" w:rsidR="007128DD" w:rsidRDefault="007128DD" w:rsidP="003377B4">
      <w:pPr>
        <w:autoSpaceDE w:val="0"/>
        <w:autoSpaceDN w:val="0"/>
        <w:adjustRightInd w:val="0"/>
      </w:pPr>
    </w:p>
    <w:p w14:paraId="2452C43D" w14:textId="14DEDFC5" w:rsidR="007E5B63" w:rsidRPr="00B60429" w:rsidRDefault="007E5B63" w:rsidP="003377B4">
      <w:pPr>
        <w:rPr>
          <w:b/>
          <w:bCs/>
        </w:rPr>
      </w:pPr>
      <w:r w:rsidRPr="66EBE839">
        <w:rPr>
          <w:b/>
          <w:bCs/>
        </w:rPr>
        <w:t>Data Preparation:</w:t>
      </w:r>
    </w:p>
    <w:p w14:paraId="163F1A53" w14:textId="68160D19" w:rsidR="007E5B63" w:rsidRPr="00B60429" w:rsidRDefault="3E76525E" w:rsidP="003377B4">
      <w:pPr>
        <w:pStyle w:val="ListParagraph"/>
        <w:numPr>
          <w:ilvl w:val="0"/>
          <w:numId w:val="1"/>
        </w:numPr>
      </w:pPr>
      <w:r>
        <w:lastRenderedPageBreak/>
        <w:t>U</w:t>
      </w:r>
      <w:r w:rsidR="007E5B63">
        <w:t xml:space="preserve">tilized Python to merge two distinct data files containing data of 2015 and 2022. </w:t>
      </w:r>
      <w:r w:rsidR="42FE2388">
        <w:t>and</w:t>
      </w:r>
      <w:r w:rsidR="007E5B63">
        <w:t xml:space="preserve"> conducted a thorough data cleansing operation, identifying duplicate values resulting in a </w:t>
      </w:r>
      <w:r w:rsidR="34492172">
        <w:t xml:space="preserve">final </w:t>
      </w:r>
      <w:r w:rsidR="007E5B63">
        <w:t xml:space="preserve">dataset with 29,455 unique required entries. </w:t>
      </w:r>
    </w:p>
    <w:p w14:paraId="5C6C7A4B" w14:textId="0EE74AD3" w:rsidR="66EBE839" w:rsidRDefault="66EBE839" w:rsidP="003377B4"/>
    <w:p w14:paraId="6D46E272" w14:textId="3FD6CC65" w:rsidR="007E5B63" w:rsidRDefault="007E5B63" w:rsidP="003377B4">
      <w:pPr>
        <w:pStyle w:val="ListParagraph"/>
        <w:numPr>
          <w:ilvl w:val="0"/>
          <w:numId w:val="1"/>
        </w:numPr>
      </w:pPr>
      <w:r>
        <w:t xml:space="preserve"> </w:t>
      </w:r>
      <w:r w:rsidR="6BE1380B">
        <w:t>I</w:t>
      </w:r>
      <w:r>
        <w:t xml:space="preserve">ncorporated latitude and longitude coordinates for each neighborhood. This step </w:t>
      </w:r>
      <w:r w:rsidR="69871DE7">
        <w:t>proved necessary</w:t>
      </w:r>
      <w:r>
        <w:t xml:space="preserve"> </w:t>
      </w:r>
      <w:r w:rsidR="4C825524">
        <w:t xml:space="preserve">to facilitate </w:t>
      </w:r>
      <w:r>
        <w:t>the creation of geographic visualizations, particularly maps, which play a pivotal role in our analysis as it is more user friendly to visualize.</w:t>
      </w:r>
    </w:p>
    <w:p w14:paraId="54CFD96B" w14:textId="716B13E9" w:rsidR="007E5B63" w:rsidRDefault="007E5B63" w:rsidP="003377B4"/>
    <w:p w14:paraId="0DE1A48B" w14:textId="0C91323C" w:rsidR="007E5B63" w:rsidRDefault="6CBA43D6" w:rsidP="003377B4">
      <w:pPr>
        <w:pStyle w:val="ListParagraph"/>
        <w:numPr>
          <w:ilvl w:val="0"/>
          <w:numId w:val="1"/>
        </w:numPr>
      </w:pPr>
      <w:r>
        <w:t xml:space="preserve">Added </w:t>
      </w:r>
      <w:r w:rsidR="007E5B63">
        <w:t>3 categories for different property use</w:t>
      </w:r>
      <w:r w:rsidR="510539C7">
        <w:t>s and created calculated fields for</w:t>
      </w:r>
      <w:r w:rsidR="007E5B63">
        <w:t xml:space="preserve"> Mean and Median values</w:t>
      </w:r>
      <w:r w:rsidR="3FC3BBC9">
        <w:t xml:space="preserve">. </w:t>
      </w:r>
      <w:r w:rsidR="007E5B63">
        <w:t>By standardizing and refining our data in this manner, we ensured the dataset's integrity and enhanced its utility for our project's objectives.</w:t>
      </w:r>
    </w:p>
    <w:p w14:paraId="4553BBC1" w14:textId="77777777" w:rsidR="00C62875" w:rsidRPr="00B60429" w:rsidRDefault="00C62875" w:rsidP="003377B4"/>
    <w:p w14:paraId="2C7521AC" w14:textId="3D9FED3D" w:rsidR="00A542D8" w:rsidRPr="00A542D8" w:rsidRDefault="00A542D8" w:rsidP="003377B4">
      <w:pPr>
        <w:rPr>
          <w:b/>
          <w:bCs/>
        </w:rPr>
      </w:pPr>
      <w:r w:rsidRPr="66EBE839">
        <w:rPr>
          <w:b/>
          <w:bCs/>
        </w:rPr>
        <w:t>Data Visualization</w:t>
      </w:r>
      <w:r w:rsidR="00F5591C" w:rsidRPr="66EBE839">
        <w:rPr>
          <w:b/>
          <w:bCs/>
        </w:rPr>
        <w:t>s</w:t>
      </w:r>
      <w:r w:rsidRPr="66EBE839">
        <w:rPr>
          <w:b/>
          <w:bCs/>
        </w:rPr>
        <w:t>:</w:t>
      </w:r>
      <w:r>
        <w:br/>
      </w:r>
    </w:p>
    <w:p w14:paraId="3AB2AC33" w14:textId="20C527AE" w:rsidR="00A542D8" w:rsidRPr="00A542D8" w:rsidRDefault="4A424B40" w:rsidP="003377B4">
      <w:r>
        <w:t xml:space="preserve">Using </w:t>
      </w:r>
      <w:r w:rsidR="00A542D8">
        <w:t>Tableau</w:t>
      </w:r>
      <w:r w:rsidR="785ACD59">
        <w:t xml:space="preserve">, we </w:t>
      </w:r>
      <w:r w:rsidR="00A542D8">
        <w:t>craft</w:t>
      </w:r>
      <w:r w:rsidR="08A07C05">
        <w:t>ed</w:t>
      </w:r>
      <w:r w:rsidR="00A542D8">
        <w:t xml:space="preserve"> a range of informative visualizations includ</w:t>
      </w:r>
      <w:r w:rsidR="51F1BEBA">
        <w:t xml:space="preserve">ing </w:t>
      </w:r>
      <w:r w:rsidR="00A542D8">
        <w:t xml:space="preserve">interactive maps, line graphs, and dynamic charts </w:t>
      </w:r>
      <w:r w:rsidR="3F053025">
        <w:t>highlighting</w:t>
      </w:r>
      <w:r w:rsidR="00A542D8">
        <w:t xml:space="preserve"> property value trends from 2015 to 2022 in specific South St. Petersburg neighborhoods. These visual representations allow for a clear understanding of property value changes over time and facilitate comparisons between different areas. Furthermore, we created visualizations illustrating the distribution of properties, providing geographic context and insights into the spatial distribution of various property types, including residential and commercial. These dynamic visualizations serve as a key component of our project, aiding in the presentation and interpretation of complex property data for informed decision-making by the City of St. Petersburg.</w:t>
      </w:r>
    </w:p>
    <w:p w14:paraId="742E6B9A" w14:textId="3B273CB9" w:rsidR="005B7277" w:rsidRPr="00E47758" w:rsidRDefault="001D663F" w:rsidP="003377B4">
      <w:pPr>
        <w:pStyle w:val="Heading1"/>
        <w:rPr>
          <w:sz w:val="24"/>
          <w:szCs w:val="24"/>
        </w:rPr>
      </w:pPr>
      <w:r w:rsidRPr="66EBE839">
        <w:rPr>
          <w:sz w:val="24"/>
          <w:szCs w:val="24"/>
        </w:rPr>
        <w:t>Results</w:t>
      </w:r>
    </w:p>
    <w:p w14:paraId="3AB52BE5" w14:textId="24DC3567" w:rsidR="00EE4D8C" w:rsidRPr="00ED4FAE" w:rsidRDefault="00EE4D8C" w:rsidP="003377B4">
      <w:pPr>
        <w:spacing w:after="160" w:line="259" w:lineRule="auto"/>
        <w:rPr>
          <w:b/>
          <w:bCs/>
        </w:rPr>
      </w:pPr>
      <w:r w:rsidRPr="66EBE839">
        <w:rPr>
          <w:b/>
          <w:bCs/>
        </w:rPr>
        <w:t>St Petersburg Neighborhood Property Value Analysis (All Properties) - 2015</w:t>
      </w:r>
      <w:r w:rsidR="7394D948" w:rsidRPr="66EBE839">
        <w:rPr>
          <w:b/>
          <w:bCs/>
        </w:rPr>
        <w:t xml:space="preserve"> vs 2022</w:t>
      </w:r>
    </w:p>
    <w:p w14:paraId="5361D498" w14:textId="77777777" w:rsidR="00EE4D8C" w:rsidRDefault="00EE4D8C" w:rsidP="003377B4">
      <w:pPr>
        <w:spacing w:after="160" w:line="259" w:lineRule="auto"/>
      </w:pPr>
      <w:r w:rsidRPr="003769CF">
        <w:rPr>
          <w:noProof/>
        </w:rPr>
        <w:lastRenderedPageBreak/>
        <w:drawing>
          <wp:inline distT="0" distB="0" distL="0" distR="0" wp14:anchorId="59276047" wp14:editId="56A560A1">
            <wp:extent cx="5972268" cy="3836674"/>
            <wp:effectExtent l="19050" t="19050" r="9525" b="0"/>
            <wp:docPr id="1744633981" name="Picture 1744633981" descr="A graph of a number of property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3981" name="Picture 1" descr="A graph of a number of property values&#10;&#10;Description automatically generated with medium confidence"/>
                    <pic:cNvPicPr/>
                  </pic:nvPicPr>
                  <pic:blipFill>
                    <a:blip r:embed="rId10"/>
                    <a:srcRect/>
                    <a:stretch>
                      <a:fillRect/>
                    </a:stretch>
                  </pic:blipFill>
                  <pic:spPr>
                    <a:xfrm>
                      <a:off x="0" y="0"/>
                      <a:ext cx="5972268" cy="3836674"/>
                    </a:xfrm>
                    <a:prstGeom prst="rect">
                      <a:avLst/>
                    </a:prstGeom>
                    <a:solidFill>
                      <a:schemeClr val="tx1"/>
                    </a:solidFill>
                    <a:ln w="12700">
                      <a:solidFill>
                        <a:schemeClr val="tx1"/>
                      </a:solidFill>
                    </a:ln>
                  </pic:spPr>
                </pic:pic>
              </a:graphicData>
            </a:graphic>
          </wp:inline>
        </w:drawing>
      </w:r>
    </w:p>
    <w:p w14:paraId="6B25B457" w14:textId="3FB3250D" w:rsidR="00EE4D8C" w:rsidRDefault="00EE4D8C" w:rsidP="003377B4">
      <w:pPr>
        <w:spacing w:after="160" w:line="259" w:lineRule="auto"/>
      </w:pPr>
      <w:r>
        <w:t xml:space="preserve">In 2015, property values in St. Petersburg's neighborhoods varied significantly. </w:t>
      </w:r>
      <w:r w:rsidRPr="66EBE839">
        <w:rPr>
          <w:b/>
          <w:bCs/>
        </w:rPr>
        <w:t>Woodlawn Oaks</w:t>
      </w:r>
      <w:r>
        <w:t xml:space="preserve"> had the highest average property value at around </w:t>
      </w:r>
      <w:r w:rsidRPr="66EBE839">
        <w:rPr>
          <w:b/>
          <w:bCs/>
        </w:rPr>
        <w:t>$979,495</w:t>
      </w:r>
      <w:r>
        <w:t xml:space="preserve"> USD,</w:t>
      </w:r>
      <w:r w:rsidR="5695F18B">
        <w:t xml:space="preserve"> </w:t>
      </w:r>
      <w:r>
        <w:t xml:space="preserve">followed by Historic Kenwood and east of Palmetto Park and Perry Bayview. </w:t>
      </w:r>
      <w:r w:rsidR="6ECAC7AA">
        <w:t>In Historic Kenwood, the presence of retail and residential properties contributes to its higher property value.</w:t>
      </w:r>
      <w:r>
        <w:t xml:space="preserve"> </w:t>
      </w:r>
      <w:r w:rsidR="70E418EC">
        <w:t xml:space="preserve">On the opposite end of the spectrum, </w:t>
      </w:r>
      <w:r w:rsidR="569D21E9" w:rsidRPr="66EBE839">
        <w:rPr>
          <w:b/>
          <w:bCs/>
        </w:rPr>
        <w:t>the Historic</w:t>
      </w:r>
      <w:r w:rsidRPr="66EBE839">
        <w:rPr>
          <w:b/>
          <w:bCs/>
        </w:rPr>
        <w:t xml:space="preserve"> Gas Plant District</w:t>
      </w:r>
      <w:r>
        <w:t xml:space="preserve"> had </w:t>
      </w:r>
      <w:r w:rsidR="3A35A946">
        <w:t xml:space="preserve">low </w:t>
      </w:r>
      <w:r>
        <w:t xml:space="preserve">property values due to its </w:t>
      </w:r>
      <w:r w:rsidR="47A4FA62">
        <w:t>vacant</w:t>
      </w:r>
      <w:r w:rsidRPr="66EBE839">
        <w:rPr>
          <w:b/>
          <w:bCs/>
        </w:rPr>
        <w:t xml:space="preserve"> </w:t>
      </w:r>
      <w:r w:rsidR="5BA50FC1" w:rsidRPr="66EBE839">
        <w:rPr>
          <w:b/>
          <w:bCs/>
        </w:rPr>
        <w:t xml:space="preserve">3.8 acres of vacant </w:t>
      </w:r>
      <w:r w:rsidRPr="66EBE839">
        <w:rPr>
          <w:b/>
          <w:bCs/>
        </w:rPr>
        <w:t>park land</w:t>
      </w:r>
      <w:r>
        <w:t xml:space="preserve"> </w:t>
      </w:r>
      <w:r w:rsidR="2C059318">
        <w:t>(or lack of data)</w:t>
      </w:r>
      <w:r w:rsidR="6EDE22B1">
        <w:t>.</w:t>
      </w:r>
      <w:r w:rsidR="0EFD8E11">
        <w:t xml:space="preserve"> Although they have residential properties,</w:t>
      </w:r>
      <w:r>
        <w:t xml:space="preserve"> </w:t>
      </w:r>
      <w:r w:rsidR="3EB7EB2F">
        <w:t>o</w:t>
      </w:r>
      <w:r>
        <w:t xml:space="preserve">ther neighborhoods like Thirteenth Heights and Mel Tan Heights also </w:t>
      </w:r>
      <w:r w:rsidR="4F33E442">
        <w:t>have</w:t>
      </w:r>
      <w:r>
        <w:t xml:space="preserve"> notably low property values, </w:t>
      </w:r>
      <w:r w:rsidR="6B97B621">
        <w:t xml:space="preserve">with the median lying around </w:t>
      </w:r>
      <w:r>
        <w:t>$16,751 USD and $17,430 USD, respectively. This contrast illustrates how land use plays a vital role in determining property values.</w:t>
      </w:r>
    </w:p>
    <w:p w14:paraId="208467BE" w14:textId="77777777" w:rsidR="00EE4D8C" w:rsidRDefault="00EE4D8C" w:rsidP="003377B4">
      <w:pPr>
        <w:rPr>
          <w:i/>
          <w:iCs/>
        </w:rPr>
      </w:pPr>
      <w:r w:rsidRPr="66EBE839">
        <w:rPr>
          <w:b/>
          <w:bCs/>
        </w:rPr>
        <w:t>Note</w:t>
      </w:r>
      <w:r>
        <w:t xml:space="preserve">: Jordan Park Resident Management median value is zero because there is only one property with </w:t>
      </w:r>
      <w:r w:rsidRPr="66EBE839">
        <w:rPr>
          <w:i/>
          <w:iCs/>
        </w:rPr>
        <w:t>taxable property value. Hence it is considered as an outlier.</w:t>
      </w:r>
    </w:p>
    <w:p w14:paraId="2DD1936F" w14:textId="77777777" w:rsidR="78ECF14A" w:rsidRDefault="78ECF14A" w:rsidP="003377B4">
      <w:pPr>
        <w:spacing w:after="160" w:line="259" w:lineRule="auto"/>
      </w:pPr>
      <w:r>
        <w:rPr>
          <w:noProof/>
        </w:rPr>
        <w:lastRenderedPageBreak/>
        <w:drawing>
          <wp:inline distT="0" distB="0" distL="0" distR="0" wp14:anchorId="582045D5" wp14:editId="3F279F20">
            <wp:extent cx="5939775" cy="3815797"/>
            <wp:effectExtent l="19050" t="19050" r="4445" b="0"/>
            <wp:docPr id="685691104" name="Picture 2076977529" descr="A graph of a number of property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977529"/>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39775" cy="3815797"/>
                    </a:xfrm>
                    <a:prstGeom prst="rect">
                      <a:avLst/>
                    </a:prstGeom>
                    <a:solidFill>
                      <a:schemeClr val="tx1"/>
                    </a:solidFill>
                    <a:ln w="12700">
                      <a:solidFill>
                        <a:schemeClr val="tx1"/>
                      </a:solidFill>
                    </a:ln>
                  </pic:spPr>
                </pic:pic>
              </a:graphicData>
            </a:graphic>
          </wp:inline>
        </w:drawing>
      </w:r>
    </w:p>
    <w:p w14:paraId="564630DA" w14:textId="6290E9E0" w:rsidR="78ECF14A" w:rsidRDefault="78ECF14A" w:rsidP="003377B4">
      <w:pPr>
        <w:spacing w:after="160" w:line="259" w:lineRule="auto"/>
      </w:pPr>
      <w:r>
        <w:t xml:space="preserve">In 2022, property values in St. Petersburg's neighborhoods have changed significantly. </w:t>
      </w:r>
      <w:r w:rsidRPr="66EBE839">
        <w:rPr>
          <w:b/>
          <w:bCs/>
        </w:rPr>
        <w:t>Historic Kenwood</w:t>
      </w:r>
      <w:r>
        <w:t xml:space="preserve"> had the highest average property value at around </w:t>
      </w:r>
      <w:r w:rsidRPr="66EBE839">
        <w:rPr>
          <w:b/>
          <w:bCs/>
        </w:rPr>
        <w:t xml:space="preserve">$654,4340, </w:t>
      </w:r>
      <w:r>
        <w:t xml:space="preserve">up from </w:t>
      </w:r>
      <w:r w:rsidRPr="66EBE839">
        <w:rPr>
          <w:b/>
          <w:bCs/>
        </w:rPr>
        <w:t xml:space="preserve">$240,769 </w:t>
      </w:r>
      <w:r>
        <w:t xml:space="preserve">in 2015. Also, south of Historic Kenwood had a significant growth compared to East of Palmetto Park this year. While the </w:t>
      </w:r>
      <w:r w:rsidRPr="66EBE839">
        <w:rPr>
          <w:b/>
          <w:bCs/>
        </w:rPr>
        <w:t>Historic Gas Plant District</w:t>
      </w:r>
      <w:r>
        <w:t xml:space="preserve"> still has low property values due to its </w:t>
      </w:r>
      <w:r w:rsidRPr="66EBE839">
        <w:rPr>
          <w:b/>
          <w:bCs/>
        </w:rPr>
        <w:t>vacant park land</w:t>
      </w:r>
      <w:r>
        <w:t>. “North of Lakewood estate” consists of vacant city government and garages covering three-quarters of the total land. Mel</w:t>
      </w:r>
      <w:r w:rsidR="404110E2">
        <w:t>-</w:t>
      </w:r>
      <w:r>
        <w:t>Tan Heights remains at the bottom list with no major change but interestingly Thirteenth Heights has had a growth in the property value in 2022.</w:t>
      </w:r>
    </w:p>
    <w:p w14:paraId="09DD5B2B" w14:textId="4C44C5AB" w:rsidR="78ECF14A" w:rsidRDefault="78ECF14A" w:rsidP="003377B4">
      <w:pPr>
        <w:rPr>
          <w:i/>
          <w:iCs/>
        </w:rPr>
      </w:pPr>
      <w:r w:rsidRPr="66EBE839">
        <w:rPr>
          <w:b/>
          <w:bCs/>
        </w:rPr>
        <w:t>Note</w:t>
      </w:r>
      <w:r>
        <w:t>: Data for Woodlawn Oaks was missing for 2022 and therefore has not been mentioned.</w:t>
      </w:r>
    </w:p>
    <w:p w14:paraId="38C2FFA4" w14:textId="65B77981" w:rsidR="66EBE839" w:rsidRDefault="66EBE839" w:rsidP="003377B4">
      <w:pPr>
        <w:rPr>
          <w:i/>
          <w:iCs/>
        </w:rPr>
      </w:pPr>
    </w:p>
    <w:p w14:paraId="608BBB76" w14:textId="4CF88601" w:rsidR="66EBE839" w:rsidRDefault="66EBE839" w:rsidP="003377B4"/>
    <w:p w14:paraId="128C9A59" w14:textId="77777777" w:rsidR="00EE4D8C" w:rsidRDefault="00EE4D8C" w:rsidP="003377B4">
      <w:pPr>
        <w:rPr>
          <w:i/>
          <w:iCs/>
        </w:rPr>
      </w:pPr>
      <w:r w:rsidRPr="009B301C">
        <w:rPr>
          <w:i/>
          <w:iCs/>
          <w:noProof/>
        </w:rPr>
        <w:lastRenderedPageBreak/>
        <w:drawing>
          <wp:inline distT="0" distB="0" distL="0" distR="0" wp14:anchorId="2178DC5A" wp14:editId="34AA36B2">
            <wp:extent cx="5544198" cy="3591881"/>
            <wp:effectExtent l="19050" t="19050" r="0" b="8890"/>
            <wp:docPr id="2094575072" name="Picture 2094575072"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5072" name="Picture 1" descr="A map with red dots&#10;&#10;Description automatically generated"/>
                    <pic:cNvPicPr/>
                  </pic:nvPicPr>
                  <pic:blipFill>
                    <a:blip r:embed="rId12"/>
                    <a:srcRect/>
                    <a:stretch>
                      <a:fillRect/>
                    </a:stretch>
                  </pic:blipFill>
                  <pic:spPr>
                    <a:xfrm>
                      <a:off x="0" y="0"/>
                      <a:ext cx="5544198" cy="3591881"/>
                    </a:xfrm>
                    <a:prstGeom prst="rect">
                      <a:avLst/>
                    </a:prstGeom>
                    <a:solidFill>
                      <a:schemeClr val="tx1"/>
                    </a:solidFill>
                    <a:ln w="12700">
                      <a:solidFill>
                        <a:schemeClr val="tx1"/>
                      </a:solidFill>
                    </a:ln>
                  </pic:spPr>
                </pic:pic>
              </a:graphicData>
            </a:graphic>
          </wp:inline>
        </w:drawing>
      </w:r>
    </w:p>
    <w:p w14:paraId="52758B10" w14:textId="6F4FD1B6" w:rsidR="134A88D5" w:rsidRDefault="134A88D5" w:rsidP="003377B4">
      <w:pPr>
        <w:rPr>
          <w:i/>
          <w:iCs/>
        </w:rPr>
      </w:pPr>
      <w:r>
        <w:rPr>
          <w:noProof/>
        </w:rPr>
        <w:drawing>
          <wp:inline distT="0" distB="0" distL="0" distR="0" wp14:anchorId="4F471DF1" wp14:editId="1C889778">
            <wp:extent cx="5593740" cy="3623977"/>
            <wp:effectExtent l="0" t="0" r="6350" b="0"/>
            <wp:docPr id="645022850" name="Picture 517186907" descr="A map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1869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3740" cy="3623977"/>
                    </a:xfrm>
                    <a:prstGeom prst="rect">
                      <a:avLst/>
                    </a:prstGeom>
                  </pic:spPr>
                </pic:pic>
              </a:graphicData>
            </a:graphic>
          </wp:inline>
        </w:drawing>
      </w:r>
    </w:p>
    <w:p w14:paraId="370A1642" w14:textId="65457288" w:rsidR="00EE4D8C" w:rsidRPr="0084422C" w:rsidRDefault="00EE4D8C" w:rsidP="003377B4">
      <w:r w:rsidRPr="66EBE839">
        <w:rPr>
          <w:b/>
          <w:bCs/>
          <w:i/>
          <w:iCs/>
        </w:rPr>
        <w:t>Visualization Description</w:t>
      </w:r>
      <w:r w:rsidRPr="66EBE839">
        <w:rPr>
          <w:i/>
          <w:iCs/>
        </w:rPr>
        <w:t xml:space="preserve">: </w:t>
      </w:r>
      <w:r>
        <w:t>Map visualization representing mean and median of property values in 2015. You can use the property Type parameter to choose between Strictly Residential, Single-family residential and so on</w:t>
      </w:r>
      <w:r w:rsidR="23C5C993">
        <w:t xml:space="preserve"> as well as </w:t>
      </w:r>
      <w:r w:rsidR="16618E80">
        <w:t>an</w:t>
      </w:r>
      <w:r w:rsidR="23C5C993">
        <w:t xml:space="preserve"> added</w:t>
      </w:r>
      <w:r>
        <w:t xml:space="preserve"> Homestead filter can be used to see homesteaded status. </w:t>
      </w:r>
      <w:r w:rsidR="34D09904">
        <w:t>The bigger</w:t>
      </w:r>
      <w:r>
        <w:t xml:space="preserve"> and darker the dot</w:t>
      </w:r>
      <w:r w:rsidR="1D926BD4">
        <w:t>, the higher</w:t>
      </w:r>
      <w:r>
        <w:t xml:space="preserve"> the property value.</w:t>
      </w:r>
    </w:p>
    <w:p w14:paraId="750B483E" w14:textId="13A8F4BC" w:rsidR="66EBE839" w:rsidRDefault="66EBE839" w:rsidP="003377B4"/>
    <w:p w14:paraId="313A599E" w14:textId="539A8BA6" w:rsidR="00EE4D8C" w:rsidRDefault="786E6933" w:rsidP="003377B4">
      <w:pPr>
        <w:spacing w:after="160" w:line="259" w:lineRule="auto"/>
      </w:pPr>
      <w:r>
        <w:lastRenderedPageBreak/>
        <w:t>When considering residential properties for 2015, out of 31, 28 neighborhoods are classified strictly residential.</w:t>
      </w:r>
      <w:r w:rsidR="00EE4D8C">
        <w:t xml:space="preserve"> Historic Kenwood, East of Perry Bayview and Palmetto Park </w:t>
      </w:r>
      <w:r w:rsidR="74305D00">
        <w:t>are</w:t>
      </w:r>
      <w:r w:rsidR="00EE4D8C">
        <w:t xml:space="preserve"> top on the list with most residential properties also with highest property value. Whereas the residential property value is </w:t>
      </w:r>
      <w:r w:rsidR="1B525890">
        <w:t>significantly</w:t>
      </w:r>
      <w:r w:rsidR="00EE4D8C">
        <w:t xml:space="preserve"> less in Campbell Park and South of Palmetto Park. </w:t>
      </w:r>
      <w:r w:rsidR="3C127748">
        <w:t>It is</w:t>
      </w:r>
      <w:r w:rsidR="00EE4D8C">
        <w:t xml:space="preserve"> </w:t>
      </w:r>
      <w:r w:rsidR="6652BA9B">
        <w:t>remarkably interesting</w:t>
      </w:r>
      <w:r w:rsidR="00EE4D8C">
        <w:t xml:space="preserve"> to find </w:t>
      </w:r>
      <w:r w:rsidR="41F4DB8A">
        <w:t xml:space="preserve">that comparing different sides (east vs south) of </w:t>
      </w:r>
      <w:r w:rsidR="00EE4D8C">
        <w:t xml:space="preserve">Palmetto Park </w:t>
      </w:r>
      <w:r w:rsidR="27B3822A">
        <w:t xml:space="preserve">leads to a wide degree of changes between </w:t>
      </w:r>
      <w:r w:rsidR="00EE4D8C">
        <w:t>property value.</w:t>
      </w:r>
    </w:p>
    <w:p w14:paraId="6143E718" w14:textId="77777777" w:rsidR="00EF6592" w:rsidRPr="00EF6592" w:rsidRDefault="00EF6592" w:rsidP="003377B4">
      <w:pPr>
        <w:rPr>
          <w:rFonts w:ascii="Cambria" w:hAnsi="Cambria"/>
        </w:rPr>
      </w:pPr>
    </w:p>
    <w:p w14:paraId="4EA42682" w14:textId="32132A1B" w:rsidR="00EE4D8C" w:rsidRDefault="49CF9837" w:rsidP="003377B4">
      <w:pPr>
        <w:rPr>
          <w:rFonts w:ascii="Cambria" w:hAnsi="Cambria"/>
        </w:rPr>
      </w:pPr>
      <w:r w:rsidRPr="66EBE839">
        <w:rPr>
          <w:rFonts w:ascii="Cambria" w:hAnsi="Cambria"/>
        </w:rPr>
        <w:t xml:space="preserve">Comparing this with </w:t>
      </w:r>
      <w:r w:rsidR="00EE4D8C" w:rsidRPr="66EBE839">
        <w:rPr>
          <w:rFonts w:ascii="Cambria" w:hAnsi="Cambria"/>
        </w:rPr>
        <w:t>residential properties for 2022</w:t>
      </w:r>
      <w:r w:rsidR="5C7F2941" w:rsidRPr="66EBE839">
        <w:rPr>
          <w:rFonts w:ascii="Cambria" w:hAnsi="Cambria"/>
        </w:rPr>
        <w:t>,</w:t>
      </w:r>
      <w:r w:rsidR="00EE4D8C" w:rsidRPr="66EBE839">
        <w:rPr>
          <w:rFonts w:ascii="Cambria" w:hAnsi="Cambria"/>
        </w:rPr>
        <w:t xml:space="preserve"> </w:t>
      </w:r>
      <w:r w:rsidR="77D32167" w:rsidRPr="66EBE839">
        <w:rPr>
          <w:rFonts w:ascii="Cambria" w:hAnsi="Cambria"/>
        </w:rPr>
        <w:t xml:space="preserve">our data shows </w:t>
      </w:r>
      <w:r w:rsidR="36159941" w:rsidRPr="66EBE839">
        <w:rPr>
          <w:rFonts w:ascii="Cambria" w:hAnsi="Cambria"/>
        </w:rPr>
        <w:t xml:space="preserve">that there are now 27 </w:t>
      </w:r>
      <w:r w:rsidR="00EE4D8C" w:rsidRPr="66EBE839">
        <w:rPr>
          <w:rFonts w:ascii="Cambria" w:hAnsi="Cambria"/>
        </w:rPr>
        <w:t xml:space="preserve">neighborhoods </w:t>
      </w:r>
      <w:r w:rsidR="2F88A134" w:rsidRPr="66EBE839">
        <w:rPr>
          <w:rFonts w:ascii="Cambria" w:hAnsi="Cambria"/>
        </w:rPr>
        <w:t xml:space="preserve">classified as </w:t>
      </w:r>
      <w:r w:rsidR="00EE4D8C" w:rsidRPr="66EBE839">
        <w:rPr>
          <w:rFonts w:ascii="Cambria" w:hAnsi="Cambria"/>
        </w:rPr>
        <w:t>strictly residential. Historic Kenwood, south of Historic Kenwood</w:t>
      </w:r>
      <w:r w:rsidR="740FEAA7" w:rsidRPr="66EBE839">
        <w:rPr>
          <w:rFonts w:ascii="Cambria" w:hAnsi="Cambria"/>
        </w:rPr>
        <w:t xml:space="preserve"> and </w:t>
      </w:r>
      <w:r w:rsidR="00EE4D8C" w:rsidRPr="66EBE839">
        <w:rPr>
          <w:rFonts w:ascii="Cambria" w:hAnsi="Cambria"/>
        </w:rPr>
        <w:t xml:space="preserve">Palmetto Park </w:t>
      </w:r>
      <w:r w:rsidR="64C06AA8" w:rsidRPr="66EBE839">
        <w:rPr>
          <w:rFonts w:ascii="Cambria" w:hAnsi="Cambria"/>
        </w:rPr>
        <w:t xml:space="preserve">still lead </w:t>
      </w:r>
      <w:r w:rsidR="00EE4D8C" w:rsidRPr="66EBE839">
        <w:rPr>
          <w:rFonts w:ascii="Cambria" w:hAnsi="Cambria"/>
        </w:rPr>
        <w:t xml:space="preserve">the list </w:t>
      </w:r>
      <w:r w:rsidR="145FE752" w:rsidRPr="66EBE839">
        <w:rPr>
          <w:rFonts w:ascii="Cambria" w:hAnsi="Cambria"/>
        </w:rPr>
        <w:t>with the highest property values</w:t>
      </w:r>
      <w:r w:rsidR="00EE4D8C" w:rsidRPr="66EBE839">
        <w:rPr>
          <w:rFonts w:ascii="Cambria" w:hAnsi="Cambria"/>
        </w:rPr>
        <w:t xml:space="preserve">. Interestingly, compared to 2015, the residential value of Campbell Park has </w:t>
      </w:r>
      <w:r w:rsidR="4719629A" w:rsidRPr="66EBE839">
        <w:rPr>
          <w:rFonts w:ascii="Cambria" w:hAnsi="Cambria"/>
        </w:rPr>
        <w:t>improved significantly</w:t>
      </w:r>
      <w:r w:rsidR="19207CC0" w:rsidRPr="66EBE839">
        <w:rPr>
          <w:rFonts w:ascii="Cambria" w:hAnsi="Cambria"/>
        </w:rPr>
        <w:t xml:space="preserve"> while this is </w:t>
      </w:r>
      <w:r w:rsidR="00EE4D8C" w:rsidRPr="66EBE839">
        <w:rPr>
          <w:rFonts w:ascii="Cambria" w:hAnsi="Cambria"/>
        </w:rPr>
        <w:t xml:space="preserve">less </w:t>
      </w:r>
      <w:r w:rsidR="278340FE" w:rsidRPr="66EBE839">
        <w:rPr>
          <w:rFonts w:ascii="Cambria" w:hAnsi="Cambria"/>
        </w:rPr>
        <w:t xml:space="preserve">so </w:t>
      </w:r>
      <w:r w:rsidR="00EE4D8C" w:rsidRPr="66EBE839">
        <w:rPr>
          <w:rFonts w:ascii="Cambria" w:hAnsi="Cambria"/>
        </w:rPr>
        <w:t>in South of Palmetto Park</w:t>
      </w:r>
      <w:r w:rsidR="6228DC84" w:rsidRPr="66EBE839">
        <w:rPr>
          <w:rFonts w:ascii="Cambria" w:hAnsi="Cambria"/>
        </w:rPr>
        <w:t>,</w:t>
      </w:r>
      <w:r w:rsidR="00EE4D8C" w:rsidRPr="66EBE839">
        <w:rPr>
          <w:rFonts w:ascii="Cambria" w:hAnsi="Cambria"/>
        </w:rPr>
        <w:t xml:space="preserve"> </w:t>
      </w:r>
      <w:r w:rsidR="24EB694A" w:rsidRPr="66EBE839">
        <w:rPr>
          <w:rFonts w:ascii="Cambria" w:hAnsi="Cambria"/>
        </w:rPr>
        <w:t>pointing to slow growth</w:t>
      </w:r>
      <w:r w:rsidR="00EE4D8C" w:rsidRPr="66EBE839">
        <w:rPr>
          <w:rFonts w:ascii="Cambria" w:hAnsi="Cambria"/>
        </w:rPr>
        <w:t>.</w:t>
      </w:r>
    </w:p>
    <w:p w14:paraId="2FF4FCB2" w14:textId="2AEBE47C" w:rsidR="66EBE839" w:rsidRDefault="66EBE839" w:rsidP="003377B4">
      <w:pPr>
        <w:rPr>
          <w:rFonts w:ascii="Cambria" w:hAnsi="Cambria"/>
        </w:rPr>
      </w:pPr>
    </w:p>
    <w:p w14:paraId="45762A56" w14:textId="01BBCFDD" w:rsidR="005B7758" w:rsidRDefault="005B7758" w:rsidP="003377B4">
      <w:pPr>
        <w:rPr>
          <w:b/>
          <w:bCs/>
        </w:rPr>
      </w:pPr>
      <w:r w:rsidRPr="66EBE839">
        <w:rPr>
          <w:b/>
          <w:bCs/>
          <w:color w:val="000000" w:themeColor="text2"/>
        </w:rPr>
        <w:t xml:space="preserve">Which </w:t>
      </w:r>
      <w:r w:rsidRPr="66EBE839">
        <w:rPr>
          <w:b/>
          <w:bCs/>
        </w:rPr>
        <w:t>neighborhoods had the most growth in property values from 2015 to 2022? What were the growth rates?</w:t>
      </w:r>
      <w:r>
        <w:br/>
      </w:r>
    </w:p>
    <w:p w14:paraId="560033FB" w14:textId="77777777" w:rsidR="005B7758" w:rsidRPr="006A2440" w:rsidRDefault="005B7758" w:rsidP="003377B4">
      <w:pPr>
        <w:pStyle w:val="ListParagraph"/>
        <w:numPr>
          <w:ilvl w:val="0"/>
          <w:numId w:val="6"/>
        </w:numPr>
        <w:rPr>
          <w:b/>
          <w:bCs/>
        </w:rPr>
      </w:pPr>
      <w:r w:rsidRPr="66EBE839">
        <w:rPr>
          <w:b/>
          <w:bCs/>
        </w:rPr>
        <w:t xml:space="preserve">For all properties </w:t>
      </w:r>
    </w:p>
    <w:p w14:paraId="60D6F687" w14:textId="75061404" w:rsidR="005B7758" w:rsidRDefault="005B7758" w:rsidP="003377B4"/>
    <w:p w14:paraId="38AD04D7" w14:textId="32FB572E" w:rsidR="349EC788" w:rsidRDefault="349EC788" w:rsidP="003377B4">
      <w:r>
        <w:rPr>
          <w:noProof/>
        </w:rPr>
        <w:drawing>
          <wp:inline distT="0" distB="0" distL="0" distR="0" wp14:anchorId="3D43215B" wp14:editId="47AD20CD">
            <wp:extent cx="4572000" cy="3619500"/>
            <wp:effectExtent l="0" t="0" r="0" b="0"/>
            <wp:docPr id="338925254" name="Picture 3389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40D6C693" w14:textId="5B4C94AF" w:rsidR="66EBE839" w:rsidRDefault="66EBE839" w:rsidP="003377B4"/>
    <w:p w14:paraId="31BC8AC9" w14:textId="1F62A353" w:rsidR="005B7758" w:rsidRPr="00EF6592" w:rsidRDefault="005B7758" w:rsidP="003377B4">
      <w:pPr>
        <w:spacing w:after="160" w:line="259" w:lineRule="auto"/>
        <w:rPr>
          <w:rFonts w:ascii="Cambria" w:hAnsi="Cambria"/>
        </w:rPr>
      </w:pPr>
      <w:r w:rsidRPr="66EBE839">
        <w:rPr>
          <w:rFonts w:ascii="Cambria" w:hAnsi="Cambria"/>
        </w:rPr>
        <w:t xml:space="preserve">We can see that </w:t>
      </w:r>
      <w:r w:rsidR="004504A5" w:rsidRPr="66EBE839">
        <w:rPr>
          <w:rFonts w:ascii="Cambria" w:hAnsi="Cambria"/>
        </w:rPr>
        <w:t>Thirteen St Heights Neighborhood</w:t>
      </w:r>
      <w:r w:rsidRPr="66EBE839">
        <w:rPr>
          <w:rFonts w:ascii="Cambria" w:hAnsi="Cambria"/>
        </w:rPr>
        <w:t xml:space="preserve"> stands out with an impressive growth rate of </w:t>
      </w:r>
      <w:r w:rsidR="004504A5" w:rsidRPr="66EBE839">
        <w:rPr>
          <w:rFonts w:ascii="Cambria" w:hAnsi="Cambria"/>
        </w:rPr>
        <w:t>303.8</w:t>
      </w:r>
      <w:r w:rsidRPr="66EBE839">
        <w:rPr>
          <w:rFonts w:ascii="Cambria" w:hAnsi="Cambria"/>
        </w:rPr>
        <w:t xml:space="preserve"> percent. In contrast, </w:t>
      </w:r>
      <w:r w:rsidR="00190070" w:rsidRPr="66EBE839">
        <w:rPr>
          <w:rFonts w:ascii="Cambria" w:hAnsi="Cambria"/>
        </w:rPr>
        <w:t>East of Perry Bay View</w:t>
      </w:r>
      <w:r w:rsidRPr="66EBE839">
        <w:rPr>
          <w:rFonts w:ascii="Cambria" w:hAnsi="Cambria"/>
        </w:rPr>
        <w:t xml:space="preserve"> exhibits </w:t>
      </w:r>
      <w:proofErr w:type="gramStart"/>
      <w:r w:rsidR="007D76B3" w:rsidRPr="66EBE839">
        <w:rPr>
          <w:rFonts w:ascii="Cambria" w:hAnsi="Cambria"/>
        </w:rPr>
        <w:t>a</w:t>
      </w:r>
      <w:proofErr w:type="gramEnd"/>
      <w:r w:rsidR="007D76B3" w:rsidRPr="66EBE839">
        <w:rPr>
          <w:rFonts w:ascii="Cambria" w:hAnsi="Cambria"/>
        </w:rPr>
        <w:t xml:space="preserve"> </w:t>
      </w:r>
      <w:r w:rsidR="009C4305" w:rsidRPr="66EBE839">
        <w:rPr>
          <w:rFonts w:ascii="Cambria" w:hAnsi="Cambria"/>
        </w:rPr>
        <w:t>lowest</w:t>
      </w:r>
      <w:r w:rsidRPr="66EBE839">
        <w:rPr>
          <w:rFonts w:ascii="Cambria" w:hAnsi="Cambria"/>
        </w:rPr>
        <w:t xml:space="preserve"> growth rate of </w:t>
      </w:r>
      <w:r w:rsidR="003C02D8" w:rsidRPr="66EBE839">
        <w:rPr>
          <w:rFonts w:ascii="Cambria" w:hAnsi="Cambria"/>
        </w:rPr>
        <w:t xml:space="preserve">50.7 </w:t>
      </w:r>
      <w:r w:rsidRPr="66EBE839">
        <w:rPr>
          <w:rFonts w:ascii="Cambria" w:hAnsi="Cambria"/>
        </w:rPr>
        <w:t>percent</w:t>
      </w:r>
      <w:r w:rsidR="00190070" w:rsidRPr="66EBE839">
        <w:rPr>
          <w:rFonts w:ascii="Cambria" w:hAnsi="Cambria"/>
        </w:rPr>
        <w:t xml:space="preserve">. </w:t>
      </w:r>
      <w:r w:rsidRPr="66EBE839">
        <w:rPr>
          <w:rFonts w:ascii="Cambria" w:hAnsi="Cambria"/>
        </w:rPr>
        <w:t xml:space="preserve">Meanwhile, the Historic Gas Plant </w:t>
      </w:r>
      <w:r w:rsidR="007D76B3" w:rsidRPr="66EBE839">
        <w:rPr>
          <w:rFonts w:ascii="Cambria" w:hAnsi="Cambria"/>
        </w:rPr>
        <w:t>District,</w:t>
      </w:r>
      <w:r w:rsidR="008F2B8A" w:rsidRPr="66EBE839">
        <w:rPr>
          <w:rFonts w:ascii="Cambria" w:hAnsi="Cambria"/>
        </w:rPr>
        <w:t xml:space="preserve"> Woodlawn</w:t>
      </w:r>
      <w:r w:rsidR="008A7548" w:rsidRPr="66EBE839">
        <w:rPr>
          <w:rFonts w:ascii="Cambria" w:hAnsi="Cambria"/>
        </w:rPr>
        <w:t xml:space="preserve"> Oaks and </w:t>
      </w:r>
      <w:r w:rsidR="00CA5912" w:rsidRPr="66EBE839">
        <w:rPr>
          <w:rFonts w:ascii="Cambria" w:hAnsi="Cambria"/>
        </w:rPr>
        <w:t xml:space="preserve">Jordan Park Resident </w:t>
      </w:r>
      <w:r w:rsidRPr="66EBE839">
        <w:rPr>
          <w:rFonts w:ascii="Cambria" w:hAnsi="Cambria"/>
        </w:rPr>
        <w:t xml:space="preserve">has </w:t>
      </w:r>
      <w:r w:rsidR="00482A91" w:rsidRPr="66EBE839">
        <w:rPr>
          <w:rFonts w:ascii="Cambria" w:hAnsi="Cambria"/>
        </w:rPr>
        <w:t>no property counts in 2022 hence there is no growth rate.</w:t>
      </w:r>
      <w:r w:rsidRPr="66EBE839">
        <w:rPr>
          <w:rFonts w:ascii="Cambria" w:hAnsi="Cambria"/>
        </w:rPr>
        <w:t xml:space="preserve"> An intriguing aspect of this analysis is the relationship between property counts and growth rates. In </w:t>
      </w:r>
      <w:r w:rsidRPr="66EBE839">
        <w:rPr>
          <w:rFonts w:ascii="Cambria" w:hAnsi="Cambria"/>
        </w:rPr>
        <w:lastRenderedPageBreak/>
        <w:t xml:space="preserve">several neighborhoods, property counts have remained stable from 2015 to 2022, yet there are notable increases in growth rates. A prime example of this phenomenon can be observed in </w:t>
      </w:r>
      <w:proofErr w:type="spellStart"/>
      <w:r w:rsidRPr="66EBE839">
        <w:rPr>
          <w:rFonts w:ascii="Cambria" w:hAnsi="Cambria"/>
        </w:rPr>
        <w:t>Harbor</w:t>
      </w:r>
      <w:r w:rsidR="6B28149E" w:rsidRPr="66EBE839">
        <w:rPr>
          <w:rFonts w:ascii="Cambria" w:hAnsi="Cambria"/>
        </w:rPr>
        <w:t>d</w:t>
      </w:r>
      <w:r w:rsidRPr="66EBE839">
        <w:rPr>
          <w:rFonts w:ascii="Cambria" w:hAnsi="Cambria"/>
        </w:rPr>
        <w:t>ale</w:t>
      </w:r>
      <w:proofErr w:type="spellEnd"/>
      <w:r w:rsidRPr="66EBE839">
        <w:rPr>
          <w:rFonts w:ascii="Cambria" w:hAnsi="Cambria"/>
        </w:rPr>
        <w:t xml:space="preserve"> and Clam Bayou Neighborhood, where growth rates have surged despite consistent property counts.</w:t>
      </w:r>
      <w:r w:rsidR="002936FC" w:rsidRPr="66EBE839">
        <w:rPr>
          <w:rFonts w:ascii="Cambria" w:hAnsi="Cambria"/>
        </w:rPr>
        <w:t xml:space="preserve"> Another </w:t>
      </w:r>
      <w:r w:rsidR="007D76B3" w:rsidRPr="66EBE839">
        <w:rPr>
          <w:rFonts w:ascii="Cambria" w:hAnsi="Cambria"/>
        </w:rPr>
        <w:t>noticeable</w:t>
      </w:r>
      <w:r w:rsidR="002936FC" w:rsidRPr="66EBE839">
        <w:rPr>
          <w:rFonts w:ascii="Cambria" w:hAnsi="Cambria"/>
        </w:rPr>
        <w:t xml:space="preserve"> fact is that even though the property count decreased from 2015 to </w:t>
      </w:r>
      <w:r w:rsidR="001239F9" w:rsidRPr="66EBE839">
        <w:rPr>
          <w:rFonts w:ascii="Cambria" w:hAnsi="Cambria"/>
        </w:rPr>
        <w:t>202</w:t>
      </w:r>
      <w:r w:rsidR="22287AA9" w:rsidRPr="66EBE839">
        <w:rPr>
          <w:rFonts w:ascii="Cambria" w:hAnsi="Cambria"/>
        </w:rPr>
        <w:t>2</w:t>
      </w:r>
      <w:r w:rsidR="001239F9" w:rsidRPr="66EBE839">
        <w:rPr>
          <w:rFonts w:ascii="Cambria" w:hAnsi="Cambria"/>
        </w:rPr>
        <w:t>,</w:t>
      </w:r>
      <w:r w:rsidR="002936FC" w:rsidRPr="66EBE839">
        <w:rPr>
          <w:rFonts w:ascii="Cambria" w:hAnsi="Cambria"/>
        </w:rPr>
        <w:t xml:space="preserve"> </w:t>
      </w:r>
      <w:r w:rsidR="00310578" w:rsidRPr="66EBE839">
        <w:rPr>
          <w:rFonts w:ascii="Cambria" w:hAnsi="Cambria"/>
        </w:rPr>
        <w:t>Campbell</w:t>
      </w:r>
      <w:r w:rsidR="7343ACB9" w:rsidRPr="66EBE839">
        <w:rPr>
          <w:rFonts w:ascii="Cambria" w:hAnsi="Cambria"/>
        </w:rPr>
        <w:t xml:space="preserve"> Park </w:t>
      </w:r>
      <w:r w:rsidR="0CCDFBD9" w:rsidRPr="66EBE839">
        <w:rPr>
          <w:rFonts w:ascii="Cambria" w:hAnsi="Cambria"/>
        </w:rPr>
        <w:t>still maintains a significant growth rate</w:t>
      </w:r>
      <w:r w:rsidR="00250DA6" w:rsidRPr="66EBE839">
        <w:rPr>
          <w:rFonts w:ascii="Cambria" w:hAnsi="Cambria"/>
        </w:rPr>
        <w:t xml:space="preserve">. </w:t>
      </w:r>
    </w:p>
    <w:p w14:paraId="29251085" w14:textId="77777777" w:rsidR="005B7758" w:rsidRPr="00E34F4D" w:rsidRDefault="005B7758" w:rsidP="003377B4">
      <w:pPr>
        <w:pStyle w:val="ListParagraph"/>
        <w:numPr>
          <w:ilvl w:val="0"/>
          <w:numId w:val="6"/>
        </w:numPr>
        <w:rPr>
          <w:rFonts w:ascii="Cambria" w:hAnsi="Cambria"/>
          <w:b/>
          <w:bCs/>
        </w:rPr>
      </w:pPr>
      <w:r w:rsidRPr="00E34F4D">
        <w:rPr>
          <w:rFonts w:ascii="Cambria" w:hAnsi="Cambria"/>
          <w:b/>
          <w:bCs/>
          <w:i/>
          <w:iCs/>
        </w:rPr>
        <w:t>For Strictly Residential Properties</w:t>
      </w:r>
    </w:p>
    <w:p w14:paraId="0DF78D72" w14:textId="77777777" w:rsidR="005B7758" w:rsidRDefault="005B7758" w:rsidP="003377B4">
      <w:pPr>
        <w:rPr>
          <w:rFonts w:ascii="Cambria" w:hAnsi="Cambria"/>
          <w:i/>
          <w:iCs/>
        </w:rPr>
      </w:pPr>
    </w:p>
    <w:p w14:paraId="6CF9FAB2" w14:textId="1AB04031" w:rsidR="005B7758" w:rsidRDefault="005F7205" w:rsidP="003377B4">
      <w:pPr>
        <w:rPr>
          <w:rFonts w:ascii="Cambria" w:hAnsi="Cambria"/>
          <w:i/>
          <w:iCs/>
        </w:rPr>
      </w:pPr>
      <w:r w:rsidRPr="005F7205">
        <w:rPr>
          <w:rFonts w:ascii="Cambria" w:hAnsi="Cambria"/>
          <w:noProof/>
        </w:rPr>
        <w:drawing>
          <wp:inline distT="0" distB="0" distL="0" distR="0" wp14:anchorId="769B4CFF" wp14:editId="2B80180B">
            <wp:extent cx="5943600" cy="5707380"/>
            <wp:effectExtent l="0" t="0" r="0" b="0"/>
            <wp:docPr id="782654967" name="Picture 78265496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4967" name="Picture 1" descr="A screenshot of a graph&#10;&#10;Description automatically generated"/>
                    <pic:cNvPicPr/>
                  </pic:nvPicPr>
                  <pic:blipFill>
                    <a:blip r:embed="rId15"/>
                    <a:stretch>
                      <a:fillRect/>
                    </a:stretch>
                  </pic:blipFill>
                  <pic:spPr>
                    <a:xfrm>
                      <a:off x="0" y="0"/>
                      <a:ext cx="5943600" cy="5707380"/>
                    </a:xfrm>
                    <a:prstGeom prst="rect">
                      <a:avLst/>
                    </a:prstGeom>
                  </pic:spPr>
                </pic:pic>
              </a:graphicData>
            </a:graphic>
          </wp:inline>
        </w:drawing>
      </w:r>
    </w:p>
    <w:p w14:paraId="4D1365EA" w14:textId="12AFD48A" w:rsidR="005B7758" w:rsidRDefault="005B7758" w:rsidP="003377B4">
      <w:pPr>
        <w:rPr>
          <w:rFonts w:ascii="Cambria" w:hAnsi="Cambria"/>
        </w:rPr>
      </w:pPr>
      <w:r w:rsidRPr="66EBE839">
        <w:rPr>
          <w:rFonts w:ascii="Cambria" w:hAnsi="Cambria"/>
        </w:rPr>
        <w:t xml:space="preserve">The graph provides valuable insights into the growth rates of strictly residential properties across different neighborhoods. </w:t>
      </w:r>
      <w:r w:rsidR="005F7205" w:rsidRPr="66EBE839">
        <w:rPr>
          <w:rFonts w:ascii="Cambria" w:hAnsi="Cambria"/>
        </w:rPr>
        <w:t>Clam Bayou</w:t>
      </w:r>
      <w:r w:rsidRPr="66EBE839">
        <w:rPr>
          <w:rFonts w:ascii="Cambria" w:hAnsi="Cambria"/>
        </w:rPr>
        <w:t xml:space="preserve"> emerges as the leader with the highest growth rate, a remarkable </w:t>
      </w:r>
      <w:r w:rsidR="00DB142B" w:rsidRPr="66EBE839">
        <w:rPr>
          <w:rFonts w:ascii="Cambria" w:hAnsi="Cambria"/>
        </w:rPr>
        <w:t>852.3</w:t>
      </w:r>
      <w:r w:rsidRPr="66EBE839">
        <w:rPr>
          <w:rFonts w:ascii="Cambria" w:hAnsi="Cambria"/>
        </w:rPr>
        <w:t xml:space="preserve">%, while the neighborhood with the lowest growth rate is </w:t>
      </w:r>
      <w:r w:rsidR="5EBA4D7F" w:rsidRPr="66EBE839">
        <w:rPr>
          <w:rFonts w:ascii="Cambria" w:hAnsi="Cambria"/>
        </w:rPr>
        <w:t>Melrose</w:t>
      </w:r>
      <w:r w:rsidR="00072EA4" w:rsidRPr="66EBE839">
        <w:rPr>
          <w:rFonts w:ascii="Cambria" w:hAnsi="Cambria"/>
        </w:rPr>
        <w:t xml:space="preserve"> Mercy Neighborhood</w:t>
      </w:r>
      <w:r w:rsidRPr="66EBE839">
        <w:rPr>
          <w:rFonts w:ascii="Cambria" w:hAnsi="Cambria"/>
        </w:rPr>
        <w:t xml:space="preserve">, registering at </w:t>
      </w:r>
      <w:r w:rsidR="00072EA4" w:rsidRPr="66EBE839">
        <w:rPr>
          <w:rFonts w:ascii="Cambria" w:hAnsi="Cambria"/>
        </w:rPr>
        <w:t>24.3</w:t>
      </w:r>
      <w:r w:rsidRPr="66EBE839">
        <w:rPr>
          <w:rFonts w:ascii="Cambria" w:hAnsi="Cambria"/>
        </w:rPr>
        <w:t xml:space="preserve">%. </w:t>
      </w:r>
      <w:r w:rsidR="1EF17908" w:rsidRPr="66EBE839">
        <w:rPr>
          <w:rFonts w:ascii="Cambria" w:hAnsi="Cambria"/>
        </w:rPr>
        <w:t>It is</w:t>
      </w:r>
      <w:r w:rsidRPr="66EBE839">
        <w:rPr>
          <w:rFonts w:ascii="Cambria" w:hAnsi="Cambria"/>
        </w:rPr>
        <w:t xml:space="preserve"> worth noting that the visualization does </w:t>
      </w:r>
      <w:r w:rsidRPr="66EBE839">
        <w:rPr>
          <w:rFonts w:ascii="Cambria" w:hAnsi="Cambria"/>
        </w:rPr>
        <w:lastRenderedPageBreak/>
        <w:t xml:space="preserve">not include the Historic Gas Plant District and Woodlawn Oaks, </w:t>
      </w:r>
      <w:r w:rsidR="000D0406" w:rsidRPr="66EBE839">
        <w:rPr>
          <w:rFonts w:ascii="Cambria" w:hAnsi="Cambria"/>
        </w:rPr>
        <w:t>North</w:t>
      </w:r>
      <w:r w:rsidR="00415607" w:rsidRPr="66EBE839">
        <w:rPr>
          <w:rFonts w:ascii="Cambria" w:hAnsi="Cambria"/>
        </w:rPr>
        <w:t xml:space="preserve"> </w:t>
      </w:r>
      <w:r w:rsidRPr="66EBE839">
        <w:rPr>
          <w:rFonts w:ascii="Cambria" w:hAnsi="Cambria"/>
        </w:rPr>
        <w:t>as it lacks residential properties, which sets it apart from the other neighborhoods in this analysis.</w:t>
      </w:r>
    </w:p>
    <w:p w14:paraId="48733D33" w14:textId="77777777" w:rsidR="00EF6592" w:rsidRPr="00EF6592" w:rsidRDefault="00EF6592" w:rsidP="003377B4">
      <w:pPr>
        <w:rPr>
          <w:rFonts w:ascii="Cambria" w:hAnsi="Cambria"/>
        </w:rPr>
      </w:pPr>
    </w:p>
    <w:p w14:paraId="7C39A762" w14:textId="77777777" w:rsidR="005B7758" w:rsidRPr="006A2440" w:rsidRDefault="005B7758" w:rsidP="003377B4">
      <w:pPr>
        <w:pStyle w:val="ListParagraph"/>
        <w:numPr>
          <w:ilvl w:val="0"/>
          <w:numId w:val="6"/>
        </w:numPr>
        <w:rPr>
          <w:rFonts w:ascii="Cambria" w:hAnsi="Cambria"/>
          <w:b/>
          <w:bCs/>
        </w:rPr>
      </w:pPr>
      <w:r w:rsidRPr="006A2440">
        <w:rPr>
          <w:rFonts w:ascii="Cambria" w:hAnsi="Cambria"/>
          <w:b/>
          <w:bCs/>
          <w:i/>
          <w:iCs/>
        </w:rPr>
        <w:t>For Single Family Residency that are not homesteaded</w:t>
      </w:r>
    </w:p>
    <w:p w14:paraId="4AD75196" w14:textId="77777777" w:rsidR="005B7758" w:rsidRDefault="005B7758" w:rsidP="003377B4">
      <w:pPr>
        <w:rPr>
          <w:rFonts w:ascii="Cambria" w:hAnsi="Cambria"/>
          <w:i/>
          <w:iCs/>
        </w:rPr>
      </w:pPr>
      <w:r w:rsidRPr="00FF3228">
        <w:rPr>
          <w:rFonts w:ascii="Cambria" w:hAnsi="Cambria"/>
          <w:noProof/>
        </w:rPr>
        <w:drawing>
          <wp:inline distT="0" distB="0" distL="0" distR="0" wp14:anchorId="47181CC3" wp14:editId="031446DA">
            <wp:extent cx="5943600" cy="5737860"/>
            <wp:effectExtent l="0" t="0" r="0" b="2540"/>
            <wp:docPr id="773964030" name="Picture 7739640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4030" name="Picture 1" descr="A screenshot of a graph&#10;&#10;Description automatically generated"/>
                    <pic:cNvPicPr/>
                  </pic:nvPicPr>
                  <pic:blipFill>
                    <a:blip r:embed="rId16"/>
                    <a:stretch>
                      <a:fillRect/>
                    </a:stretch>
                  </pic:blipFill>
                  <pic:spPr>
                    <a:xfrm>
                      <a:off x="0" y="0"/>
                      <a:ext cx="5943600" cy="5737860"/>
                    </a:xfrm>
                    <a:prstGeom prst="rect">
                      <a:avLst/>
                    </a:prstGeom>
                  </pic:spPr>
                </pic:pic>
              </a:graphicData>
            </a:graphic>
          </wp:inline>
        </w:drawing>
      </w:r>
    </w:p>
    <w:p w14:paraId="4161D26A" w14:textId="537B198B" w:rsidR="005B7758" w:rsidRPr="00EF6592" w:rsidRDefault="005B7758" w:rsidP="003377B4">
      <w:pPr>
        <w:rPr>
          <w:rFonts w:ascii="Cambria" w:hAnsi="Cambria"/>
        </w:rPr>
      </w:pPr>
      <w:r w:rsidRPr="66EBE839">
        <w:rPr>
          <w:rFonts w:ascii="Cambria" w:hAnsi="Cambria"/>
        </w:rPr>
        <w:t xml:space="preserve">The graph reveals intriguing trends in the growth rates of single-family properties that are not homesteaded across various neighborhoods. Notably, Clam Bayou boasts the highest growth rate at 272.7%, while the lowest growth rate is observed in East of Perry Bayview, standing at 50.9%. Surprisingly, in several neighborhoods, the counts of single-family residential properties not homesteaded have exhibited </w:t>
      </w:r>
      <w:r w:rsidR="1116380B" w:rsidRPr="66EBE839">
        <w:rPr>
          <w:rFonts w:ascii="Cambria" w:hAnsi="Cambria"/>
        </w:rPr>
        <w:t>slight change</w:t>
      </w:r>
      <w:r w:rsidRPr="66EBE839">
        <w:rPr>
          <w:rFonts w:ascii="Cambria" w:hAnsi="Cambria"/>
        </w:rPr>
        <w:t xml:space="preserve"> from 2015 to 2022. However, there are remarkable increases in growth rates, exemplified by neighborhoods like Clam Bayou and East of Palmetto Park. An interesting observation emerges from Palmetto Park, where despite a decrease in the count of single-family residential properties not homesteaded from 285 to 274, the growth rate remains notably high at 217%. </w:t>
      </w:r>
      <w:r w:rsidRPr="66EBE839">
        <w:rPr>
          <w:rFonts w:ascii="Cambria" w:hAnsi="Cambria"/>
        </w:rPr>
        <w:lastRenderedPageBreak/>
        <w:t xml:space="preserve">Additionally, Thirteenth St Heights experiences both an increase in property count and a significantly elevated growth rate, highlighting the dynamic nature of property values and demand in these areas. </w:t>
      </w:r>
      <w:r>
        <w:br/>
      </w:r>
    </w:p>
    <w:p w14:paraId="60D20E10" w14:textId="1BFCE507" w:rsidR="005B7758" w:rsidRPr="00EF6592" w:rsidRDefault="005B7758" w:rsidP="003377B4">
      <w:pPr>
        <w:pStyle w:val="ListParagraph"/>
        <w:numPr>
          <w:ilvl w:val="0"/>
          <w:numId w:val="6"/>
        </w:numPr>
        <w:rPr>
          <w:rFonts w:ascii="Cambria" w:hAnsi="Cambria"/>
        </w:rPr>
      </w:pPr>
      <w:r w:rsidRPr="00EF6592">
        <w:rPr>
          <w:rFonts w:ascii="Cambria" w:hAnsi="Cambria"/>
          <w:b/>
          <w:bCs/>
        </w:rPr>
        <w:t>A. For all single-family residential properties only and B. For single-family residential properties and missing middle properties:</w:t>
      </w:r>
      <w:r w:rsidRPr="00EF6592">
        <w:rPr>
          <w:rFonts w:ascii="Cambria" w:hAnsi="Cambria"/>
        </w:rPr>
        <w:t xml:space="preserve"> </w:t>
      </w:r>
      <w:r w:rsidR="00EF6592">
        <w:rPr>
          <w:rFonts w:ascii="Cambria" w:hAnsi="Cambria"/>
        </w:rPr>
        <w:t xml:space="preserve"> </w:t>
      </w:r>
      <w:r w:rsidRPr="00EF6592">
        <w:rPr>
          <w:rFonts w:ascii="Cambria" w:hAnsi="Cambria"/>
        </w:rPr>
        <w:t xml:space="preserve">Please see the visualizations in the Appendix, </w:t>
      </w:r>
      <w:r w:rsidR="000D5FD5" w:rsidRPr="00EF6592">
        <w:rPr>
          <w:rFonts w:ascii="Cambria" w:hAnsi="Cambria"/>
        </w:rPr>
        <w:t>even</w:t>
      </w:r>
      <w:r w:rsidRPr="00EF6592">
        <w:rPr>
          <w:rFonts w:ascii="Cambria" w:hAnsi="Cambria"/>
        </w:rPr>
        <w:t xml:space="preserve"> in these cases, the same trend follows where there is increase in growth rate irrespective of increase in the property counts for most of the neighborhoods.</w:t>
      </w:r>
    </w:p>
    <w:p w14:paraId="7DA1D3D5" w14:textId="77777777" w:rsidR="00712B26" w:rsidRPr="00E47758" w:rsidRDefault="00712B26" w:rsidP="003377B4">
      <w:pPr>
        <w:rPr>
          <w:rFonts w:ascii="Cambria" w:hAnsi="Cambria"/>
          <w:i/>
          <w:iCs/>
        </w:rPr>
      </w:pPr>
    </w:p>
    <w:p w14:paraId="2713CA12" w14:textId="4EF4957A" w:rsidR="005B7277" w:rsidRPr="00E47758" w:rsidRDefault="005B7277" w:rsidP="003377B4">
      <w:pPr>
        <w:pStyle w:val="Heading1"/>
        <w:rPr>
          <w:sz w:val="24"/>
          <w:szCs w:val="24"/>
        </w:rPr>
      </w:pPr>
      <w:r w:rsidRPr="00E47758">
        <w:rPr>
          <w:sz w:val="24"/>
          <w:szCs w:val="24"/>
        </w:rPr>
        <w:t>Conclusion</w:t>
      </w:r>
      <w:r w:rsidR="004B080F" w:rsidRPr="00E47758">
        <w:rPr>
          <w:sz w:val="24"/>
          <w:szCs w:val="24"/>
        </w:rPr>
        <w:t>s</w:t>
      </w:r>
    </w:p>
    <w:p w14:paraId="30CAA9D0" w14:textId="17DCCE02" w:rsidR="00720254" w:rsidRPr="00B445F4" w:rsidRDefault="00720254" w:rsidP="003377B4">
      <w:pPr>
        <w:rPr>
          <w:rFonts w:ascii="Cambria" w:hAnsi="Cambria"/>
        </w:rPr>
      </w:pPr>
      <w:r w:rsidRPr="66EBE839">
        <w:rPr>
          <w:rFonts w:ascii="Cambria" w:hAnsi="Cambria"/>
        </w:rPr>
        <w:t xml:space="preserve">In 2015, property values in South St. Petersburg's neighborhoods exhibited considerable variation, influenced by factors such as land use, property type, and geographic location. The Historic Kenwood neighborhood had the highest average property value, emphasizing its attractiveness for residential </w:t>
      </w:r>
      <w:r w:rsidR="007471E1" w:rsidRPr="66EBE839">
        <w:rPr>
          <w:rFonts w:ascii="Cambria" w:hAnsi="Cambria"/>
        </w:rPr>
        <w:t>purposes.</w:t>
      </w:r>
      <w:r>
        <w:br/>
      </w:r>
    </w:p>
    <w:p w14:paraId="46556C44" w14:textId="6FB370B0" w:rsidR="00A2260E" w:rsidRPr="00B445F4" w:rsidRDefault="00A2260E" w:rsidP="003377B4">
      <w:pPr>
        <w:rPr>
          <w:rFonts w:ascii="Cambria" w:hAnsi="Cambria"/>
        </w:rPr>
      </w:pPr>
      <w:r w:rsidRPr="66EBE839">
        <w:rPr>
          <w:rFonts w:ascii="Cambria" w:hAnsi="Cambria"/>
        </w:rPr>
        <w:t xml:space="preserve">The year 2022 witnessed significant changes in property values. Historic Kenwood maintained its status as a high-value neighborhood, but other areas like </w:t>
      </w:r>
      <w:r w:rsidR="48015966" w:rsidRPr="66EBE839">
        <w:rPr>
          <w:rFonts w:ascii="Cambria" w:hAnsi="Cambria"/>
        </w:rPr>
        <w:t>the South</w:t>
      </w:r>
      <w:r w:rsidRPr="66EBE839">
        <w:rPr>
          <w:rFonts w:ascii="Cambria" w:hAnsi="Cambria"/>
        </w:rPr>
        <w:t xml:space="preserve"> of Historic Kenwood experienced substantial growth. Notably, the Historic Gas Plant District remained at the bottom with low property values due to its vacant park land.</w:t>
      </w:r>
    </w:p>
    <w:p w14:paraId="70D9FF6E" w14:textId="58135A7E" w:rsidR="000859FB" w:rsidRPr="00B445F4" w:rsidRDefault="000859FB" w:rsidP="003377B4">
      <w:pPr>
        <w:rPr>
          <w:rFonts w:ascii="Cambria" w:hAnsi="Cambria"/>
        </w:rPr>
      </w:pPr>
      <w:r w:rsidRPr="66EBE839">
        <w:rPr>
          <w:rFonts w:ascii="Cambria" w:hAnsi="Cambria"/>
        </w:rPr>
        <w:t>Thirteenth St Heights Neighborhood emerged as the standout performer with the highest growth rate of 303.8%, indicating a significant increase in property values over the seven-year period.</w:t>
      </w:r>
      <w:r>
        <w:br/>
      </w:r>
    </w:p>
    <w:p w14:paraId="1CFE7E33" w14:textId="2D2C5BBC" w:rsidR="00771501" w:rsidRPr="00B445F4" w:rsidRDefault="00C44675" w:rsidP="003377B4">
      <w:pPr>
        <w:rPr>
          <w:rFonts w:ascii="Cambria" w:hAnsi="Cambria"/>
        </w:rPr>
      </w:pPr>
      <w:r w:rsidRPr="00B445F4">
        <w:rPr>
          <w:rFonts w:ascii="Cambria" w:hAnsi="Cambria"/>
        </w:rPr>
        <w:t>East of Perry Bay View displayed the lowest growth rate at 50.7%, signaling a decline in property values in this neighborhood.</w:t>
      </w:r>
    </w:p>
    <w:p w14:paraId="1D5F761F" w14:textId="16BF2009" w:rsidR="00571572" w:rsidRPr="00B445F4" w:rsidRDefault="00571572" w:rsidP="003377B4">
      <w:pPr>
        <w:rPr>
          <w:rFonts w:ascii="Cambria" w:hAnsi="Cambria"/>
        </w:rPr>
      </w:pPr>
      <w:r w:rsidRPr="00B445F4">
        <w:rPr>
          <w:rFonts w:ascii="Cambria" w:hAnsi="Cambria"/>
        </w:rPr>
        <w:t>Interestingly, several neighborhoods with stable property counts experienced notable growth rates, underscoring the complexity of factors affecting property values.</w:t>
      </w:r>
    </w:p>
    <w:p w14:paraId="3689C002" w14:textId="77777777" w:rsidR="001B460C" w:rsidRPr="00B445F4" w:rsidRDefault="001B460C" w:rsidP="003377B4">
      <w:pPr>
        <w:rPr>
          <w:rFonts w:ascii="Cambria" w:hAnsi="Cambria"/>
        </w:rPr>
      </w:pPr>
    </w:p>
    <w:p w14:paraId="130D88EC" w14:textId="77777777" w:rsidR="001B460C" w:rsidRPr="001B460C" w:rsidRDefault="001B460C" w:rsidP="003377B4">
      <w:pPr>
        <w:rPr>
          <w:rFonts w:ascii="Cambria" w:hAnsi="Cambria"/>
          <w:b/>
          <w:bCs/>
        </w:rPr>
      </w:pPr>
      <w:r w:rsidRPr="001B460C">
        <w:rPr>
          <w:rFonts w:ascii="Cambria" w:hAnsi="Cambria"/>
          <w:b/>
          <w:bCs/>
        </w:rPr>
        <w:t>Opportunities for Further Analysis:</w:t>
      </w:r>
    </w:p>
    <w:p w14:paraId="0932D422" w14:textId="0C954A6D" w:rsidR="001B460C" w:rsidRPr="001B460C" w:rsidRDefault="001B460C" w:rsidP="003377B4">
      <w:pPr>
        <w:rPr>
          <w:rFonts w:ascii="Cambria" w:hAnsi="Cambria"/>
        </w:rPr>
      </w:pPr>
      <w:r w:rsidRPr="66EBE839">
        <w:rPr>
          <w:rFonts w:ascii="Cambria" w:hAnsi="Cambria"/>
        </w:rPr>
        <w:t>Exploring the factors contributing to property value changes in specific neighborhoods, such as policy changes or infrastructure improvements</w:t>
      </w:r>
      <w:r w:rsidR="495486D8" w:rsidRPr="66EBE839">
        <w:rPr>
          <w:rFonts w:ascii="Cambria" w:hAnsi="Cambria"/>
        </w:rPr>
        <w:t xml:space="preserve"> and </w:t>
      </w:r>
      <w:r w:rsidRPr="66EBE839">
        <w:rPr>
          <w:rFonts w:ascii="Cambria" w:hAnsi="Cambria"/>
        </w:rPr>
        <w:t>Identifying areas with the most potential for future property value growth and formulating strategies to support this growth.</w:t>
      </w:r>
    </w:p>
    <w:p w14:paraId="74DFCF7C" w14:textId="37266C79" w:rsidR="005B7277" w:rsidRPr="00E47758" w:rsidRDefault="005B7277" w:rsidP="003377B4">
      <w:pPr>
        <w:pStyle w:val="Heading1"/>
        <w:rPr>
          <w:sz w:val="24"/>
          <w:szCs w:val="24"/>
        </w:rPr>
      </w:pPr>
      <w:r w:rsidRPr="00E47758">
        <w:rPr>
          <w:sz w:val="24"/>
          <w:szCs w:val="24"/>
        </w:rPr>
        <w:t>Link to Visualizations</w:t>
      </w:r>
    </w:p>
    <w:p w14:paraId="6BB86B35" w14:textId="2817A586" w:rsidR="00712B26" w:rsidRPr="00E47758" w:rsidRDefault="6F19F077" w:rsidP="003377B4">
      <w:pPr>
        <w:rPr>
          <w:rFonts w:ascii="Cambria" w:hAnsi="Cambria"/>
          <w:color w:val="FF0000"/>
        </w:rPr>
      </w:pPr>
      <w:r w:rsidRPr="66EBE839">
        <w:rPr>
          <w:rFonts w:ascii="Cambria" w:hAnsi="Cambria"/>
          <w:color w:val="FF0000"/>
        </w:rPr>
        <w:t>A</w:t>
      </w:r>
      <w:r w:rsidR="00FF28DE" w:rsidRPr="66EBE839">
        <w:rPr>
          <w:rFonts w:ascii="Cambria" w:hAnsi="Cambria"/>
          <w:color w:val="FF0000"/>
        </w:rPr>
        <w:t xml:space="preserve">ll </w:t>
      </w:r>
      <w:r w:rsidR="006509D5" w:rsidRPr="66EBE839">
        <w:rPr>
          <w:rFonts w:ascii="Cambria" w:hAnsi="Cambria"/>
          <w:color w:val="FF0000"/>
        </w:rPr>
        <w:t>visualizations</w:t>
      </w:r>
      <w:r w:rsidR="482CB7AE" w:rsidRPr="66EBE839">
        <w:rPr>
          <w:rFonts w:ascii="Cambria" w:hAnsi="Cambria"/>
          <w:color w:val="FF0000"/>
        </w:rPr>
        <w:t xml:space="preserve"> can be accessed </w:t>
      </w:r>
      <w:hyperlink r:id="rId17">
        <w:r w:rsidR="482CB7AE" w:rsidRPr="66EBE839">
          <w:rPr>
            <w:rStyle w:val="Hyperlink"/>
            <w:rFonts w:ascii="Cambria" w:hAnsi="Cambria"/>
          </w:rPr>
          <w:t>here.</w:t>
        </w:r>
      </w:hyperlink>
    </w:p>
    <w:sectPr w:rsidR="00712B26" w:rsidRPr="00E4775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CD902" w14:textId="77777777" w:rsidR="004E5B9B" w:rsidRDefault="004E5B9B" w:rsidP="00712B26">
      <w:r>
        <w:separator/>
      </w:r>
    </w:p>
  </w:endnote>
  <w:endnote w:type="continuationSeparator" w:id="0">
    <w:p w14:paraId="1C25F670" w14:textId="77777777" w:rsidR="004E5B9B" w:rsidRDefault="004E5B9B" w:rsidP="00712B26">
      <w:r>
        <w:continuationSeparator/>
      </w:r>
    </w:p>
  </w:endnote>
  <w:endnote w:type="continuationNotice" w:id="1">
    <w:p w14:paraId="7F135522" w14:textId="77777777" w:rsidR="004E5B9B" w:rsidRDefault="004E5B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DA83E" w14:textId="0DBCB392" w:rsidR="00712B26" w:rsidRPr="003377B4" w:rsidRDefault="66EBE839" w:rsidP="66EBE839">
    <w:pPr>
      <w:pStyle w:val="Footer"/>
      <w:jc w:val="center"/>
      <w:rPr>
        <w:color w:val="191919" w:themeColor="background2" w:themeShade="1A"/>
      </w:rPr>
    </w:pPr>
    <w:r w:rsidRPr="003377B4">
      <w:rPr>
        <w:color w:val="191919" w:themeColor="background2" w:themeShade="1A"/>
      </w:rPr>
      <w:t>YASWANTH CHANDOLU</w:t>
    </w:r>
    <w:r w:rsidR="003121F0" w:rsidRPr="003377B4">
      <w:tab/>
    </w:r>
    <w:r w:rsidRPr="003377B4">
      <w:rPr>
        <w:color w:val="191919" w:themeColor="background2" w:themeShade="1A"/>
      </w:rPr>
      <w:t xml:space="preserve"> | VINAYA RAJARAM NAYAK | GAYATHRI SHANMUGA SUNDARAM | ANUDEEP | RAGHAV KHURANA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7FB12" w14:textId="77777777" w:rsidR="004E5B9B" w:rsidRDefault="004E5B9B" w:rsidP="00712B26">
      <w:r>
        <w:separator/>
      </w:r>
    </w:p>
  </w:footnote>
  <w:footnote w:type="continuationSeparator" w:id="0">
    <w:p w14:paraId="4ED369FB" w14:textId="77777777" w:rsidR="004E5B9B" w:rsidRDefault="004E5B9B" w:rsidP="00712B26">
      <w:r>
        <w:continuationSeparator/>
      </w:r>
    </w:p>
  </w:footnote>
  <w:footnote w:type="continuationNotice" w:id="1">
    <w:p w14:paraId="4D2CFA35" w14:textId="77777777" w:rsidR="004E5B9B" w:rsidRDefault="004E5B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5FF5" w14:textId="77777777" w:rsidR="00463741" w:rsidRDefault="00463741">
    <w:pPr>
      <w:pStyle w:val="Header"/>
    </w:pPr>
  </w:p>
  <w:p w14:paraId="7DEE7A16" w14:textId="77777777" w:rsidR="00954DFD" w:rsidRDefault="00954DFD">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3C293"/>
    <w:multiLevelType w:val="hybridMultilevel"/>
    <w:tmpl w:val="E108B3CE"/>
    <w:lvl w:ilvl="0" w:tplc="769E2206">
      <w:start w:val="1"/>
      <w:numFmt w:val="bullet"/>
      <w:lvlText w:val=""/>
      <w:lvlJc w:val="left"/>
      <w:pPr>
        <w:ind w:left="720" w:hanging="360"/>
      </w:pPr>
      <w:rPr>
        <w:rFonts w:ascii="Symbol" w:hAnsi="Symbol" w:hint="default"/>
      </w:rPr>
    </w:lvl>
    <w:lvl w:ilvl="1" w:tplc="B4B6394E">
      <w:start w:val="1"/>
      <w:numFmt w:val="bullet"/>
      <w:lvlText w:val="o"/>
      <w:lvlJc w:val="left"/>
      <w:pPr>
        <w:ind w:left="1440" w:hanging="360"/>
      </w:pPr>
      <w:rPr>
        <w:rFonts w:ascii="Courier New" w:hAnsi="Courier New" w:hint="default"/>
      </w:rPr>
    </w:lvl>
    <w:lvl w:ilvl="2" w:tplc="E2CA2408">
      <w:start w:val="1"/>
      <w:numFmt w:val="bullet"/>
      <w:lvlText w:val=""/>
      <w:lvlJc w:val="left"/>
      <w:pPr>
        <w:ind w:left="2160" w:hanging="360"/>
      </w:pPr>
      <w:rPr>
        <w:rFonts w:ascii="Wingdings" w:hAnsi="Wingdings" w:hint="default"/>
      </w:rPr>
    </w:lvl>
    <w:lvl w:ilvl="3" w:tplc="9AFEAF88">
      <w:start w:val="1"/>
      <w:numFmt w:val="bullet"/>
      <w:lvlText w:val=""/>
      <w:lvlJc w:val="left"/>
      <w:pPr>
        <w:ind w:left="2880" w:hanging="360"/>
      </w:pPr>
      <w:rPr>
        <w:rFonts w:ascii="Symbol" w:hAnsi="Symbol" w:hint="default"/>
      </w:rPr>
    </w:lvl>
    <w:lvl w:ilvl="4" w:tplc="A25C0C3E">
      <w:start w:val="1"/>
      <w:numFmt w:val="bullet"/>
      <w:lvlText w:val="o"/>
      <w:lvlJc w:val="left"/>
      <w:pPr>
        <w:ind w:left="3600" w:hanging="360"/>
      </w:pPr>
      <w:rPr>
        <w:rFonts w:ascii="Courier New" w:hAnsi="Courier New" w:hint="default"/>
      </w:rPr>
    </w:lvl>
    <w:lvl w:ilvl="5" w:tplc="14740800">
      <w:start w:val="1"/>
      <w:numFmt w:val="bullet"/>
      <w:lvlText w:val=""/>
      <w:lvlJc w:val="left"/>
      <w:pPr>
        <w:ind w:left="4320" w:hanging="360"/>
      </w:pPr>
      <w:rPr>
        <w:rFonts w:ascii="Wingdings" w:hAnsi="Wingdings" w:hint="default"/>
      </w:rPr>
    </w:lvl>
    <w:lvl w:ilvl="6" w:tplc="2AD49578">
      <w:start w:val="1"/>
      <w:numFmt w:val="bullet"/>
      <w:lvlText w:val=""/>
      <w:lvlJc w:val="left"/>
      <w:pPr>
        <w:ind w:left="5040" w:hanging="360"/>
      </w:pPr>
      <w:rPr>
        <w:rFonts w:ascii="Symbol" w:hAnsi="Symbol" w:hint="default"/>
      </w:rPr>
    </w:lvl>
    <w:lvl w:ilvl="7" w:tplc="B0F8A382">
      <w:start w:val="1"/>
      <w:numFmt w:val="bullet"/>
      <w:lvlText w:val="o"/>
      <w:lvlJc w:val="left"/>
      <w:pPr>
        <w:ind w:left="5760" w:hanging="360"/>
      </w:pPr>
      <w:rPr>
        <w:rFonts w:ascii="Courier New" w:hAnsi="Courier New" w:hint="default"/>
      </w:rPr>
    </w:lvl>
    <w:lvl w:ilvl="8" w:tplc="40CA1A22">
      <w:start w:val="1"/>
      <w:numFmt w:val="bullet"/>
      <w:lvlText w:val=""/>
      <w:lvlJc w:val="left"/>
      <w:pPr>
        <w:ind w:left="6480" w:hanging="360"/>
      </w:pPr>
      <w:rPr>
        <w:rFonts w:ascii="Wingdings" w:hAnsi="Wingdings" w:hint="default"/>
      </w:rPr>
    </w:lvl>
  </w:abstractNum>
  <w:abstractNum w:abstractNumId="1" w15:restartNumberingAfterBreak="0">
    <w:nsid w:val="2F452CBF"/>
    <w:multiLevelType w:val="hybridMultilevel"/>
    <w:tmpl w:val="E11A6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53636"/>
    <w:multiLevelType w:val="multilevel"/>
    <w:tmpl w:val="024E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40126"/>
    <w:multiLevelType w:val="hybridMultilevel"/>
    <w:tmpl w:val="C434B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0F3B18"/>
    <w:multiLevelType w:val="hybridMultilevel"/>
    <w:tmpl w:val="760E8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B3C0F"/>
    <w:multiLevelType w:val="multilevel"/>
    <w:tmpl w:val="8BD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FE1B3B"/>
    <w:multiLevelType w:val="multilevel"/>
    <w:tmpl w:val="DC42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5071140">
    <w:abstractNumId w:val="0"/>
  </w:num>
  <w:num w:numId="2" w16cid:durableId="92169205">
    <w:abstractNumId w:val="2"/>
  </w:num>
  <w:num w:numId="3" w16cid:durableId="903757477">
    <w:abstractNumId w:val="6"/>
  </w:num>
  <w:num w:numId="4" w16cid:durableId="1553999068">
    <w:abstractNumId w:val="4"/>
  </w:num>
  <w:num w:numId="5" w16cid:durableId="1663390200">
    <w:abstractNumId w:val="3"/>
  </w:num>
  <w:num w:numId="6" w16cid:durableId="1409962549">
    <w:abstractNumId w:val="1"/>
  </w:num>
  <w:num w:numId="7" w16cid:durableId="12392891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tjA1NTUwMLQ0MzFQ0lEKTi0uzszPAykwqgUAp5kt1CwAAAA="/>
  </w:docVars>
  <w:rsids>
    <w:rsidRoot w:val="0060136A"/>
    <w:rsid w:val="000009FD"/>
    <w:rsid w:val="0000711F"/>
    <w:rsid w:val="000117A3"/>
    <w:rsid w:val="00012983"/>
    <w:rsid w:val="00024BCB"/>
    <w:rsid w:val="00072EA4"/>
    <w:rsid w:val="000859FB"/>
    <w:rsid w:val="0008A629"/>
    <w:rsid w:val="000C58EB"/>
    <w:rsid w:val="000D0406"/>
    <w:rsid w:val="000D1134"/>
    <w:rsid w:val="000D533F"/>
    <w:rsid w:val="000D5FD5"/>
    <w:rsid w:val="000F33CB"/>
    <w:rsid w:val="000F5005"/>
    <w:rsid w:val="00102547"/>
    <w:rsid w:val="00105DE0"/>
    <w:rsid w:val="001239F9"/>
    <w:rsid w:val="00134744"/>
    <w:rsid w:val="00135FDD"/>
    <w:rsid w:val="00136766"/>
    <w:rsid w:val="00136875"/>
    <w:rsid w:val="00160921"/>
    <w:rsid w:val="00190070"/>
    <w:rsid w:val="001B3DA5"/>
    <w:rsid w:val="001B460C"/>
    <w:rsid w:val="001D663F"/>
    <w:rsid w:val="001E1278"/>
    <w:rsid w:val="002356E0"/>
    <w:rsid w:val="00250DA6"/>
    <w:rsid w:val="00286EA6"/>
    <w:rsid w:val="00287C01"/>
    <w:rsid w:val="002936FC"/>
    <w:rsid w:val="002E380D"/>
    <w:rsid w:val="00310578"/>
    <w:rsid w:val="003121F0"/>
    <w:rsid w:val="00332BA3"/>
    <w:rsid w:val="00333433"/>
    <w:rsid w:val="003377B4"/>
    <w:rsid w:val="00350439"/>
    <w:rsid w:val="00350737"/>
    <w:rsid w:val="00353D6B"/>
    <w:rsid w:val="003621AF"/>
    <w:rsid w:val="003A79E1"/>
    <w:rsid w:val="003C02D8"/>
    <w:rsid w:val="003D5078"/>
    <w:rsid w:val="003E6997"/>
    <w:rsid w:val="003F184A"/>
    <w:rsid w:val="003F7221"/>
    <w:rsid w:val="00411EEC"/>
    <w:rsid w:val="00415607"/>
    <w:rsid w:val="004231D7"/>
    <w:rsid w:val="00427A46"/>
    <w:rsid w:val="004504A5"/>
    <w:rsid w:val="00463741"/>
    <w:rsid w:val="00482A91"/>
    <w:rsid w:val="00491890"/>
    <w:rsid w:val="00493200"/>
    <w:rsid w:val="00494681"/>
    <w:rsid w:val="00494720"/>
    <w:rsid w:val="004971AD"/>
    <w:rsid w:val="00497384"/>
    <w:rsid w:val="004B080F"/>
    <w:rsid w:val="004B6589"/>
    <w:rsid w:val="004D155E"/>
    <w:rsid w:val="004D26B6"/>
    <w:rsid w:val="004E5B9B"/>
    <w:rsid w:val="0051023E"/>
    <w:rsid w:val="00521DCE"/>
    <w:rsid w:val="00536DC7"/>
    <w:rsid w:val="0054190D"/>
    <w:rsid w:val="00571572"/>
    <w:rsid w:val="005739A4"/>
    <w:rsid w:val="00577574"/>
    <w:rsid w:val="0057796C"/>
    <w:rsid w:val="00581C55"/>
    <w:rsid w:val="0059066A"/>
    <w:rsid w:val="005B7277"/>
    <w:rsid w:val="005B7758"/>
    <w:rsid w:val="005C7E47"/>
    <w:rsid w:val="005D64EA"/>
    <w:rsid w:val="005F5BFE"/>
    <w:rsid w:val="005F7205"/>
    <w:rsid w:val="0060136A"/>
    <w:rsid w:val="0060178C"/>
    <w:rsid w:val="0061670A"/>
    <w:rsid w:val="006509D5"/>
    <w:rsid w:val="00651769"/>
    <w:rsid w:val="006669E1"/>
    <w:rsid w:val="0067040E"/>
    <w:rsid w:val="00684A1B"/>
    <w:rsid w:val="006B5704"/>
    <w:rsid w:val="006C5CB7"/>
    <w:rsid w:val="00704E20"/>
    <w:rsid w:val="00712315"/>
    <w:rsid w:val="007128DD"/>
    <w:rsid w:val="00712B26"/>
    <w:rsid w:val="00720254"/>
    <w:rsid w:val="00723A7D"/>
    <w:rsid w:val="00726165"/>
    <w:rsid w:val="00745D34"/>
    <w:rsid w:val="007471E1"/>
    <w:rsid w:val="007713E0"/>
    <w:rsid w:val="00771501"/>
    <w:rsid w:val="007862F4"/>
    <w:rsid w:val="007D76B3"/>
    <w:rsid w:val="007E5B63"/>
    <w:rsid w:val="008177EF"/>
    <w:rsid w:val="0082326C"/>
    <w:rsid w:val="00834173"/>
    <w:rsid w:val="0084422C"/>
    <w:rsid w:val="00850FEC"/>
    <w:rsid w:val="008523F7"/>
    <w:rsid w:val="00867352"/>
    <w:rsid w:val="008863D7"/>
    <w:rsid w:val="00893208"/>
    <w:rsid w:val="008A0BBF"/>
    <w:rsid w:val="008A2E48"/>
    <w:rsid w:val="008A33E2"/>
    <w:rsid w:val="008A7548"/>
    <w:rsid w:val="008C222D"/>
    <w:rsid w:val="008D21DA"/>
    <w:rsid w:val="008E2F64"/>
    <w:rsid w:val="008F2B8A"/>
    <w:rsid w:val="008F33A6"/>
    <w:rsid w:val="008F79F7"/>
    <w:rsid w:val="0092414C"/>
    <w:rsid w:val="00934F79"/>
    <w:rsid w:val="009438B2"/>
    <w:rsid w:val="00946FA0"/>
    <w:rsid w:val="00950F16"/>
    <w:rsid w:val="00954DFD"/>
    <w:rsid w:val="00990F69"/>
    <w:rsid w:val="009C4305"/>
    <w:rsid w:val="009D1114"/>
    <w:rsid w:val="009F0276"/>
    <w:rsid w:val="009F5A34"/>
    <w:rsid w:val="00A048D2"/>
    <w:rsid w:val="00A056F8"/>
    <w:rsid w:val="00A14853"/>
    <w:rsid w:val="00A2260E"/>
    <w:rsid w:val="00A24790"/>
    <w:rsid w:val="00A465A7"/>
    <w:rsid w:val="00A4799E"/>
    <w:rsid w:val="00A542D8"/>
    <w:rsid w:val="00A62B9F"/>
    <w:rsid w:val="00AB0B55"/>
    <w:rsid w:val="00AC5409"/>
    <w:rsid w:val="00AE3629"/>
    <w:rsid w:val="00B12295"/>
    <w:rsid w:val="00B2388E"/>
    <w:rsid w:val="00B2739C"/>
    <w:rsid w:val="00B445F4"/>
    <w:rsid w:val="00B47000"/>
    <w:rsid w:val="00B553CB"/>
    <w:rsid w:val="00B60429"/>
    <w:rsid w:val="00B60ADA"/>
    <w:rsid w:val="00B857C7"/>
    <w:rsid w:val="00BA05C3"/>
    <w:rsid w:val="00BB1830"/>
    <w:rsid w:val="00BC4F53"/>
    <w:rsid w:val="00BD2646"/>
    <w:rsid w:val="00BD706C"/>
    <w:rsid w:val="00BE5194"/>
    <w:rsid w:val="00C058FF"/>
    <w:rsid w:val="00C12245"/>
    <w:rsid w:val="00C24B56"/>
    <w:rsid w:val="00C31DF2"/>
    <w:rsid w:val="00C41C1E"/>
    <w:rsid w:val="00C44675"/>
    <w:rsid w:val="00C62875"/>
    <w:rsid w:val="00C67701"/>
    <w:rsid w:val="00C7005A"/>
    <w:rsid w:val="00C7117E"/>
    <w:rsid w:val="00C722DA"/>
    <w:rsid w:val="00CA5912"/>
    <w:rsid w:val="00CC6367"/>
    <w:rsid w:val="00CC6FF2"/>
    <w:rsid w:val="00CC7669"/>
    <w:rsid w:val="00CE4313"/>
    <w:rsid w:val="00D03EDA"/>
    <w:rsid w:val="00D12B4E"/>
    <w:rsid w:val="00D14CF2"/>
    <w:rsid w:val="00D21FF5"/>
    <w:rsid w:val="00D23BE8"/>
    <w:rsid w:val="00D26A63"/>
    <w:rsid w:val="00D34188"/>
    <w:rsid w:val="00D35D65"/>
    <w:rsid w:val="00D55D7F"/>
    <w:rsid w:val="00D729EA"/>
    <w:rsid w:val="00D80B59"/>
    <w:rsid w:val="00D93918"/>
    <w:rsid w:val="00DA52F2"/>
    <w:rsid w:val="00DA55B7"/>
    <w:rsid w:val="00DA5E9C"/>
    <w:rsid w:val="00DB142B"/>
    <w:rsid w:val="00DB30B3"/>
    <w:rsid w:val="00DB5CFA"/>
    <w:rsid w:val="00DC4165"/>
    <w:rsid w:val="00DE12BC"/>
    <w:rsid w:val="00DE1CB5"/>
    <w:rsid w:val="00DE534A"/>
    <w:rsid w:val="00DF2E33"/>
    <w:rsid w:val="00DF41AC"/>
    <w:rsid w:val="00E46D8D"/>
    <w:rsid w:val="00E47758"/>
    <w:rsid w:val="00E526B3"/>
    <w:rsid w:val="00E543F1"/>
    <w:rsid w:val="00EB3162"/>
    <w:rsid w:val="00EC0A8F"/>
    <w:rsid w:val="00EC55F2"/>
    <w:rsid w:val="00EC5ACF"/>
    <w:rsid w:val="00ED67AA"/>
    <w:rsid w:val="00EE4D8C"/>
    <w:rsid w:val="00EF2300"/>
    <w:rsid w:val="00EF6592"/>
    <w:rsid w:val="00F01B9E"/>
    <w:rsid w:val="00F15E51"/>
    <w:rsid w:val="00F23492"/>
    <w:rsid w:val="00F30A5B"/>
    <w:rsid w:val="00F4693C"/>
    <w:rsid w:val="00F5591C"/>
    <w:rsid w:val="00F777B6"/>
    <w:rsid w:val="00F8479B"/>
    <w:rsid w:val="00FA00F2"/>
    <w:rsid w:val="00FB7ADE"/>
    <w:rsid w:val="00FD0266"/>
    <w:rsid w:val="00FD4066"/>
    <w:rsid w:val="00FE6617"/>
    <w:rsid w:val="00FF0E95"/>
    <w:rsid w:val="00FF28DE"/>
    <w:rsid w:val="0167CBA7"/>
    <w:rsid w:val="01B6B818"/>
    <w:rsid w:val="03524B10"/>
    <w:rsid w:val="038EEFD2"/>
    <w:rsid w:val="0424C124"/>
    <w:rsid w:val="04FFF953"/>
    <w:rsid w:val="051FDF4B"/>
    <w:rsid w:val="0521D263"/>
    <w:rsid w:val="052AC033"/>
    <w:rsid w:val="077DEC2E"/>
    <w:rsid w:val="080CF452"/>
    <w:rsid w:val="08A07C05"/>
    <w:rsid w:val="08E47830"/>
    <w:rsid w:val="09162527"/>
    <w:rsid w:val="0C1C18F2"/>
    <w:rsid w:val="0C3FBDD3"/>
    <w:rsid w:val="0CCDFBD9"/>
    <w:rsid w:val="0CCF5C74"/>
    <w:rsid w:val="0ED764F0"/>
    <w:rsid w:val="0EFD8E11"/>
    <w:rsid w:val="0F063DC7"/>
    <w:rsid w:val="10B16D89"/>
    <w:rsid w:val="1116380B"/>
    <w:rsid w:val="11D1DF60"/>
    <w:rsid w:val="134A88D5"/>
    <w:rsid w:val="13A4EC5E"/>
    <w:rsid w:val="13F1A857"/>
    <w:rsid w:val="145FE752"/>
    <w:rsid w:val="1647F030"/>
    <w:rsid w:val="16618E80"/>
    <w:rsid w:val="17C070C0"/>
    <w:rsid w:val="17E3C091"/>
    <w:rsid w:val="19207CC0"/>
    <w:rsid w:val="1B525890"/>
    <w:rsid w:val="1C482540"/>
    <w:rsid w:val="1D53E368"/>
    <w:rsid w:val="1D926BD4"/>
    <w:rsid w:val="1EA0355A"/>
    <w:rsid w:val="1EF17908"/>
    <w:rsid w:val="20447814"/>
    <w:rsid w:val="211508B9"/>
    <w:rsid w:val="21190875"/>
    <w:rsid w:val="21333789"/>
    <w:rsid w:val="21CB8307"/>
    <w:rsid w:val="22287AA9"/>
    <w:rsid w:val="22F12441"/>
    <w:rsid w:val="236D9536"/>
    <w:rsid w:val="23C5C993"/>
    <w:rsid w:val="23CD23B4"/>
    <w:rsid w:val="24934D96"/>
    <w:rsid w:val="24EB694A"/>
    <w:rsid w:val="263764D4"/>
    <w:rsid w:val="278340FE"/>
    <w:rsid w:val="27B3822A"/>
    <w:rsid w:val="28332FD6"/>
    <w:rsid w:val="28B654C9"/>
    <w:rsid w:val="2AD05C44"/>
    <w:rsid w:val="2C059318"/>
    <w:rsid w:val="2F88A134"/>
    <w:rsid w:val="3025195E"/>
    <w:rsid w:val="3126B2D4"/>
    <w:rsid w:val="331BDC29"/>
    <w:rsid w:val="334A13EB"/>
    <w:rsid w:val="34492172"/>
    <w:rsid w:val="347A6A44"/>
    <w:rsid w:val="349EC788"/>
    <w:rsid w:val="34D09904"/>
    <w:rsid w:val="34E5E44C"/>
    <w:rsid w:val="34FD35CB"/>
    <w:rsid w:val="35C330F3"/>
    <w:rsid w:val="36159941"/>
    <w:rsid w:val="37747031"/>
    <w:rsid w:val="3795F458"/>
    <w:rsid w:val="3987546F"/>
    <w:rsid w:val="398D16E6"/>
    <w:rsid w:val="3A35A946"/>
    <w:rsid w:val="3B2324D0"/>
    <w:rsid w:val="3B25F7C1"/>
    <w:rsid w:val="3BC2A06F"/>
    <w:rsid w:val="3C127748"/>
    <w:rsid w:val="3E76525E"/>
    <w:rsid w:val="3E7AB15F"/>
    <w:rsid w:val="3E882E61"/>
    <w:rsid w:val="3EB7EB2F"/>
    <w:rsid w:val="3F053025"/>
    <w:rsid w:val="3F932FBA"/>
    <w:rsid w:val="3FC3BBC9"/>
    <w:rsid w:val="3FFC586A"/>
    <w:rsid w:val="404110E2"/>
    <w:rsid w:val="40AACA5F"/>
    <w:rsid w:val="41F4DB8A"/>
    <w:rsid w:val="42FE2388"/>
    <w:rsid w:val="43D9B40A"/>
    <w:rsid w:val="44EEC4C5"/>
    <w:rsid w:val="4719629A"/>
    <w:rsid w:val="47A4FA62"/>
    <w:rsid w:val="48015966"/>
    <w:rsid w:val="482CB7AE"/>
    <w:rsid w:val="495486D8"/>
    <w:rsid w:val="49C1A1FE"/>
    <w:rsid w:val="49CF9837"/>
    <w:rsid w:val="4A424B40"/>
    <w:rsid w:val="4A6D31E7"/>
    <w:rsid w:val="4ACFDD9E"/>
    <w:rsid w:val="4AF86EAA"/>
    <w:rsid w:val="4C437163"/>
    <w:rsid w:val="4C825524"/>
    <w:rsid w:val="4C873962"/>
    <w:rsid w:val="4E23472C"/>
    <w:rsid w:val="4E6377C3"/>
    <w:rsid w:val="4EC20B14"/>
    <w:rsid w:val="4F33E442"/>
    <w:rsid w:val="4FBEDA24"/>
    <w:rsid w:val="50D447A1"/>
    <w:rsid w:val="510539C7"/>
    <w:rsid w:val="51F1BEBA"/>
    <w:rsid w:val="555C7454"/>
    <w:rsid w:val="55EE86E9"/>
    <w:rsid w:val="5658F8B3"/>
    <w:rsid w:val="5695F18B"/>
    <w:rsid w:val="569D21E9"/>
    <w:rsid w:val="575C584E"/>
    <w:rsid w:val="57A32A92"/>
    <w:rsid w:val="57C0DBCC"/>
    <w:rsid w:val="592B4D4F"/>
    <w:rsid w:val="5985ACDA"/>
    <w:rsid w:val="59ADC7C6"/>
    <w:rsid w:val="5BA50FC1"/>
    <w:rsid w:val="5C29DFBC"/>
    <w:rsid w:val="5C7F2941"/>
    <w:rsid w:val="5EBA4D7F"/>
    <w:rsid w:val="6068B3EF"/>
    <w:rsid w:val="6228DC84"/>
    <w:rsid w:val="63E776AF"/>
    <w:rsid w:val="64C06AA8"/>
    <w:rsid w:val="662D198F"/>
    <w:rsid w:val="6652BA9B"/>
    <w:rsid w:val="666C8268"/>
    <w:rsid w:val="66EBE839"/>
    <w:rsid w:val="671EDA08"/>
    <w:rsid w:val="67542F0D"/>
    <w:rsid w:val="683C734F"/>
    <w:rsid w:val="68C880D1"/>
    <w:rsid w:val="69871DE7"/>
    <w:rsid w:val="69B82AE7"/>
    <w:rsid w:val="6A653BD3"/>
    <w:rsid w:val="6B28149E"/>
    <w:rsid w:val="6B4248E5"/>
    <w:rsid w:val="6B97B621"/>
    <w:rsid w:val="6BE1380B"/>
    <w:rsid w:val="6BE9C728"/>
    <w:rsid w:val="6CBA43D6"/>
    <w:rsid w:val="6D753098"/>
    <w:rsid w:val="6D859789"/>
    <w:rsid w:val="6DCAC04E"/>
    <w:rsid w:val="6ECAC7AA"/>
    <w:rsid w:val="6EDE22B1"/>
    <w:rsid w:val="6F19F077"/>
    <w:rsid w:val="6F68A984"/>
    <w:rsid w:val="704BF03F"/>
    <w:rsid w:val="70E418EC"/>
    <w:rsid w:val="71026110"/>
    <w:rsid w:val="711C35D2"/>
    <w:rsid w:val="71B62542"/>
    <w:rsid w:val="7343ACB9"/>
    <w:rsid w:val="7394D948"/>
    <w:rsid w:val="740FEAA7"/>
    <w:rsid w:val="74305D00"/>
    <w:rsid w:val="74FDB5FD"/>
    <w:rsid w:val="75D5D233"/>
    <w:rsid w:val="769FA1E9"/>
    <w:rsid w:val="77D32167"/>
    <w:rsid w:val="781043B0"/>
    <w:rsid w:val="785ACD59"/>
    <w:rsid w:val="786E6933"/>
    <w:rsid w:val="78C666DF"/>
    <w:rsid w:val="78ECF14A"/>
    <w:rsid w:val="79BB5523"/>
    <w:rsid w:val="7A55101F"/>
    <w:rsid w:val="7E924DC0"/>
    <w:rsid w:val="7EBCF2B9"/>
    <w:rsid w:val="7F0FB7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41700"/>
  <w15:chartTrackingRefBased/>
  <w15:docId w15:val="{C9FED2BB-A662-415E-B2D4-5E7584EBC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0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34744"/>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semiHidden/>
    <w:unhideWhenUsed/>
    <w:qFormat/>
    <w:rsid w:val="00134744"/>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semiHidden/>
    <w:unhideWhenUsed/>
    <w:qFormat/>
    <w:rsid w:val="00134744"/>
    <w:pPr>
      <w:pBdr>
        <w:left w:val="single" w:sz="48" w:space="2" w:color="B2B2B2" w:themeColor="accent2"/>
        <w:bottom w:val="single" w:sz="4" w:space="0" w:color="B2B2B2" w:themeColor="accent2"/>
      </w:pBdr>
      <w:spacing w:before="200" w:after="100"/>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134744"/>
    <w:pPr>
      <w:pBdr>
        <w:left w:val="single" w:sz="4" w:space="2" w:color="B2B2B2" w:themeColor="accent2"/>
        <w:bottom w:val="single" w:sz="4" w:space="2" w:color="B2B2B2" w:themeColor="accent2"/>
      </w:pBdr>
      <w:spacing w:before="200" w:after="100"/>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134744"/>
    <w:pPr>
      <w:pBdr>
        <w:left w:val="dotted" w:sz="4" w:space="2" w:color="B2B2B2" w:themeColor="accent2"/>
        <w:bottom w:val="dotted" w:sz="4" w:space="2" w:color="B2B2B2" w:themeColor="accent2"/>
      </w:pBdr>
      <w:spacing w:before="200" w:after="100"/>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134744"/>
    <w:pPr>
      <w:pBdr>
        <w:bottom w:val="single" w:sz="4" w:space="2" w:color="E0E0E0" w:themeColor="accent2" w:themeTint="66"/>
      </w:pBdr>
      <w:spacing w:before="200" w:after="100"/>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134744"/>
    <w:pPr>
      <w:pBdr>
        <w:bottom w:val="dotted" w:sz="4" w:space="2" w:color="D0D0D0" w:themeColor="accent2" w:themeTint="99"/>
      </w:pBdr>
      <w:spacing w:before="200" w:after="100"/>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134744"/>
    <w:pPr>
      <w:spacing w:before="200" w:after="100"/>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134744"/>
    <w:pPr>
      <w:spacing w:before="200" w:after="100"/>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744"/>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134744"/>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134744"/>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134744"/>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134744"/>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134744"/>
    <w:rPr>
      <w:rFonts w:asciiTheme="majorHAnsi" w:eastAsiaTheme="majorEastAsia" w:hAnsiTheme="majorHAnsi" w:cstheme="majorBidi"/>
      <w:i/>
      <w:iCs/>
      <w:color w:val="B2B2B2" w:themeColor="accent2"/>
      <w:sz w:val="20"/>
      <w:szCs w:val="20"/>
    </w:rPr>
  </w:style>
  <w:style w:type="paragraph" w:styleId="Caption">
    <w:name w:val="caption"/>
    <w:basedOn w:val="Normal"/>
    <w:next w:val="Normal"/>
    <w:uiPriority w:val="35"/>
    <w:semiHidden/>
    <w:unhideWhenUsed/>
    <w:qFormat/>
    <w:rsid w:val="00134744"/>
    <w:rPr>
      <w:b/>
      <w:bCs/>
      <w:color w:val="858585" w:themeColor="accent2" w:themeShade="BF"/>
      <w:sz w:val="18"/>
      <w:szCs w:val="18"/>
    </w:rPr>
  </w:style>
  <w:style w:type="paragraph" w:styleId="Title">
    <w:name w:val="Title"/>
    <w:basedOn w:val="Normal"/>
    <w:next w:val="Normal"/>
    <w:link w:val="TitleChar"/>
    <w:uiPriority w:val="10"/>
    <w:qFormat/>
    <w:rsid w:val="00134744"/>
    <w:pPr>
      <w:pBdr>
        <w:top w:val="single" w:sz="48" w:space="0" w:color="B2B2B2" w:themeColor="accent2"/>
        <w:bottom w:val="single" w:sz="48" w:space="0" w:color="B2B2B2" w:themeColor="accent2"/>
      </w:pBdr>
      <w:shd w:val="clear" w:color="auto" w:fill="B2B2B2"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34744"/>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134744"/>
    <w:pPr>
      <w:pBdr>
        <w:bottom w:val="dotted" w:sz="8" w:space="10" w:color="B2B2B2" w:themeColor="accent2"/>
      </w:pBdr>
      <w:spacing w:before="200" w:after="900"/>
      <w:jc w:val="center"/>
    </w:pPr>
    <w:rPr>
      <w:rFonts w:asciiTheme="majorHAnsi" w:eastAsiaTheme="majorEastAsia" w:hAnsiTheme="majorHAnsi" w:cstheme="majorBidi"/>
      <w:color w:val="585858" w:themeColor="accent2" w:themeShade="7F"/>
    </w:rPr>
  </w:style>
  <w:style w:type="character" w:customStyle="1" w:styleId="SubtitleChar">
    <w:name w:val="Subtitle Char"/>
    <w:basedOn w:val="DefaultParagraphFont"/>
    <w:link w:val="Subtitle"/>
    <w:uiPriority w:val="11"/>
    <w:rsid w:val="00134744"/>
    <w:rPr>
      <w:rFonts w:asciiTheme="majorHAnsi" w:eastAsiaTheme="majorEastAsia" w:hAnsiTheme="majorHAnsi" w:cstheme="majorBidi"/>
      <w:i/>
      <w:iCs/>
      <w:color w:val="585858" w:themeColor="accent2" w:themeShade="7F"/>
      <w:sz w:val="24"/>
      <w:szCs w:val="24"/>
    </w:rPr>
  </w:style>
  <w:style w:type="character" w:styleId="Strong">
    <w:name w:val="Strong"/>
    <w:uiPriority w:val="22"/>
    <w:qFormat/>
    <w:rsid w:val="00134744"/>
    <w:rPr>
      <w:b/>
      <w:bCs/>
      <w:spacing w:val="0"/>
    </w:rPr>
  </w:style>
  <w:style w:type="character" w:styleId="Emphasis">
    <w:name w:val="Emphasis"/>
    <w:uiPriority w:val="20"/>
    <w:qFormat/>
    <w:rsid w:val="00134744"/>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uiPriority w:val="1"/>
    <w:qFormat/>
    <w:rsid w:val="00134744"/>
  </w:style>
  <w:style w:type="paragraph" w:styleId="ListParagraph">
    <w:name w:val="List Paragraph"/>
    <w:basedOn w:val="Normal"/>
    <w:uiPriority w:val="34"/>
    <w:qFormat/>
    <w:rsid w:val="00134744"/>
    <w:pPr>
      <w:ind w:left="720"/>
      <w:contextualSpacing/>
    </w:pPr>
  </w:style>
  <w:style w:type="paragraph" w:styleId="Quote">
    <w:name w:val="Quote"/>
    <w:basedOn w:val="Normal"/>
    <w:next w:val="Normal"/>
    <w:link w:val="QuoteChar"/>
    <w:uiPriority w:val="29"/>
    <w:qFormat/>
    <w:rsid w:val="00134744"/>
    <w:rPr>
      <w:i/>
      <w:iCs/>
      <w:color w:val="858585" w:themeColor="accent2" w:themeShade="BF"/>
    </w:rPr>
  </w:style>
  <w:style w:type="character" w:customStyle="1" w:styleId="QuoteChar">
    <w:name w:val="Quote Char"/>
    <w:basedOn w:val="DefaultParagraphFont"/>
    <w:link w:val="Quote"/>
    <w:uiPriority w:val="29"/>
    <w:rsid w:val="00134744"/>
    <w:rPr>
      <w:color w:val="858585" w:themeColor="accent2" w:themeShade="BF"/>
      <w:sz w:val="20"/>
      <w:szCs w:val="20"/>
    </w:rPr>
  </w:style>
  <w:style w:type="paragraph" w:styleId="IntenseQuote">
    <w:name w:val="Intense Quote"/>
    <w:basedOn w:val="Normal"/>
    <w:next w:val="Normal"/>
    <w:link w:val="IntenseQuoteChar"/>
    <w:uiPriority w:val="30"/>
    <w:qFormat/>
    <w:rsid w:val="00134744"/>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134744"/>
    <w:rPr>
      <w:rFonts w:asciiTheme="majorHAnsi" w:eastAsiaTheme="majorEastAsia" w:hAnsiTheme="majorHAnsi" w:cstheme="majorBidi"/>
      <w:b/>
      <w:bCs/>
      <w:i/>
      <w:iCs/>
      <w:color w:val="B2B2B2" w:themeColor="accent2"/>
      <w:sz w:val="20"/>
      <w:szCs w:val="20"/>
    </w:rPr>
  </w:style>
  <w:style w:type="character" w:styleId="SubtleEmphasis">
    <w:name w:val="Subtle Emphasis"/>
    <w:uiPriority w:val="19"/>
    <w:qFormat/>
    <w:rsid w:val="00134744"/>
    <w:rPr>
      <w:rFonts w:asciiTheme="majorHAnsi" w:eastAsiaTheme="majorEastAsia" w:hAnsiTheme="majorHAnsi" w:cstheme="majorBidi"/>
      <w:i/>
      <w:iCs/>
      <w:color w:val="B2B2B2" w:themeColor="accent2"/>
    </w:rPr>
  </w:style>
  <w:style w:type="character" w:styleId="IntenseEmphasis">
    <w:name w:val="Intense Emphasis"/>
    <w:uiPriority w:val="21"/>
    <w:qFormat/>
    <w:rsid w:val="00134744"/>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SubtleReference">
    <w:name w:val="Subtle Reference"/>
    <w:uiPriority w:val="31"/>
    <w:qFormat/>
    <w:rsid w:val="00134744"/>
    <w:rPr>
      <w:i/>
      <w:iCs/>
      <w:smallCaps/>
      <w:color w:val="B2B2B2" w:themeColor="accent2"/>
      <w:u w:color="B2B2B2" w:themeColor="accent2"/>
    </w:rPr>
  </w:style>
  <w:style w:type="character" w:styleId="IntenseReference">
    <w:name w:val="Intense Reference"/>
    <w:uiPriority w:val="32"/>
    <w:qFormat/>
    <w:rsid w:val="00134744"/>
    <w:rPr>
      <w:b/>
      <w:bCs/>
      <w:i/>
      <w:iCs/>
      <w:smallCaps/>
      <w:color w:val="B2B2B2" w:themeColor="accent2"/>
      <w:u w:color="B2B2B2" w:themeColor="accent2"/>
    </w:rPr>
  </w:style>
  <w:style w:type="character" w:styleId="BookTitle">
    <w:name w:val="Book Title"/>
    <w:uiPriority w:val="33"/>
    <w:qFormat/>
    <w:rsid w:val="00134744"/>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134744"/>
    <w:pPr>
      <w:outlineLvl w:val="9"/>
    </w:pPr>
  </w:style>
  <w:style w:type="paragraph" w:styleId="Header">
    <w:name w:val="header"/>
    <w:basedOn w:val="Normal"/>
    <w:link w:val="HeaderChar"/>
    <w:uiPriority w:val="99"/>
    <w:unhideWhenUsed/>
    <w:rsid w:val="00712B26"/>
    <w:pPr>
      <w:tabs>
        <w:tab w:val="center" w:pos="4680"/>
        <w:tab w:val="right" w:pos="9360"/>
      </w:tabs>
    </w:pPr>
  </w:style>
  <w:style w:type="character" w:customStyle="1" w:styleId="HeaderChar">
    <w:name w:val="Header Char"/>
    <w:basedOn w:val="DefaultParagraphFont"/>
    <w:link w:val="Header"/>
    <w:uiPriority w:val="99"/>
    <w:rsid w:val="00712B26"/>
    <w:rPr>
      <w:i/>
      <w:iCs/>
      <w:sz w:val="20"/>
      <w:szCs w:val="20"/>
    </w:rPr>
  </w:style>
  <w:style w:type="paragraph" w:styleId="Footer">
    <w:name w:val="footer"/>
    <w:basedOn w:val="Normal"/>
    <w:link w:val="FooterChar"/>
    <w:uiPriority w:val="99"/>
    <w:unhideWhenUsed/>
    <w:rsid w:val="00712B26"/>
    <w:pPr>
      <w:tabs>
        <w:tab w:val="center" w:pos="4680"/>
        <w:tab w:val="right" w:pos="9360"/>
      </w:tabs>
    </w:pPr>
  </w:style>
  <w:style w:type="character" w:customStyle="1" w:styleId="FooterChar">
    <w:name w:val="Footer Char"/>
    <w:basedOn w:val="DefaultParagraphFont"/>
    <w:link w:val="Footer"/>
    <w:uiPriority w:val="99"/>
    <w:rsid w:val="00712B26"/>
    <w:rPr>
      <w:i/>
      <w:iCs/>
      <w:sz w:val="20"/>
      <w:szCs w:val="20"/>
    </w:rPr>
  </w:style>
  <w:style w:type="paragraph" w:styleId="NormalWeb">
    <w:name w:val="Normal (Web)"/>
    <w:basedOn w:val="Normal"/>
    <w:uiPriority w:val="99"/>
    <w:semiHidden/>
    <w:unhideWhenUsed/>
    <w:rsid w:val="00E47758"/>
    <w:pPr>
      <w:spacing w:before="100" w:beforeAutospacing="1" w:after="100" w:afterAutospacing="1"/>
    </w:pPr>
    <w:rPr>
      <w:i/>
      <w:iCs/>
    </w:rPr>
  </w:style>
  <w:style w:type="paragraph" w:styleId="z-TopofForm">
    <w:name w:val="HTML Top of Form"/>
    <w:basedOn w:val="Normal"/>
    <w:next w:val="Normal"/>
    <w:link w:val="z-TopofFormChar"/>
    <w:hidden/>
    <w:uiPriority w:val="99"/>
    <w:semiHidden/>
    <w:unhideWhenUsed/>
    <w:rsid w:val="00E47758"/>
    <w:pPr>
      <w:pBdr>
        <w:bottom w:val="single" w:sz="6" w:space="1" w:color="auto"/>
      </w:pBdr>
      <w:jc w:val="center"/>
    </w:pPr>
    <w:rPr>
      <w:rFonts w:ascii="Arial" w:hAnsi="Arial" w:cs="Arial"/>
      <w:i/>
      <w:iCs/>
      <w:vanish/>
      <w:sz w:val="16"/>
      <w:szCs w:val="16"/>
    </w:rPr>
  </w:style>
  <w:style w:type="character" w:customStyle="1" w:styleId="z-TopofFormChar">
    <w:name w:val="z-Top of Form Char"/>
    <w:basedOn w:val="DefaultParagraphFont"/>
    <w:link w:val="z-TopofForm"/>
    <w:uiPriority w:val="99"/>
    <w:semiHidden/>
    <w:rsid w:val="00E4775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47758"/>
    <w:pPr>
      <w:pBdr>
        <w:top w:val="single" w:sz="6" w:space="1" w:color="auto"/>
      </w:pBdr>
      <w:jc w:val="center"/>
    </w:pPr>
    <w:rPr>
      <w:rFonts w:ascii="Arial" w:hAnsi="Arial" w:cs="Arial"/>
      <w:i/>
      <w:iCs/>
      <w:vanish/>
      <w:sz w:val="16"/>
      <w:szCs w:val="16"/>
    </w:rPr>
  </w:style>
  <w:style w:type="character" w:customStyle="1" w:styleId="z-BottomofFormChar">
    <w:name w:val="z-Bottom of Form Char"/>
    <w:basedOn w:val="DefaultParagraphFont"/>
    <w:link w:val="z-BottomofForm"/>
    <w:uiPriority w:val="99"/>
    <w:semiHidden/>
    <w:rsid w:val="00E47758"/>
    <w:rPr>
      <w:rFonts w:ascii="Arial" w:eastAsia="Times New Roman" w:hAnsi="Arial" w:cs="Arial"/>
      <w:vanish/>
      <w:sz w:val="16"/>
      <w:szCs w:val="16"/>
    </w:rPr>
  </w:style>
  <w:style w:type="character" w:styleId="Hyperlink">
    <w:name w:val="Hyperlink"/>
    <w:basedOn w:val="DefaultParagraphFont"/>
    <w:uiPriority w:val="99"/>
    <w:unhideWhenUsed/>
    <w:rsid w:val="008A33E2"/>
    <w:rPr>
      <w:color w:val="5F5F5F" w:themeColor="hyperlink"/>
      <w:u w:val="single"/>
    </w:rPr>
  </w:style>
  <w:style w:type="character" w:styleId="UnresolvedMention">
    <w:name w:val="Unresolved Mention"/>
    <w:basedOn w:val="DefaultParagraphFont"/>
    <w:uiPriority w:val="99"/>
    <w:semiHidden/>
    <w:unhideWhenUsed/>
    <w:rsid w:val="008A33E2"/>
    <w:rPr>
      <w:color w:val="605E5C"/>
      <w:shd w:val="clear" w:color="auto" w:fill="E1DFDD"/>
    </w:rPr>
  </w:style>
  <w:style w:type="character" w:styleId="FollowedHyperlink">
    <w:name w:val="FollowedHyperlink"/>
    <w:basedOn w:val="DefaultParagraphFont"/>
    <w:uiPriority w:val="99"/>
    <w:semiHidden/>
    <w:unhideWhenUsed/>
    <w:rsid w:val="008A33E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5226">
      <w:bodyDiv w:val="1"/>
      <w:marLeft w:val="0"/>
      <w:marRight w:val="0"/>
      <w:marTop w:val="0"/>
      <w:marBottom w:val="0"/>
      <w:divBdr>
        <w:top w:val="none" w:sz="0" w:space="0" w:color="auto"/>
        <w:left w:val="none" w:sz="0" w:space="0" w:color="auto"/>
        <w:bottom w:val="none" w:sz="0" w:space="0" w:color="auto"/>
        <w:right w:val="none" w:sz="0" w:space="0" w:color="auto"/>
      </w:divBdr>
    </w:div>
    <w:div w:id="124587817">
      <w:bodyDiv w:val="1"/>
      <w:marLeft w:val="0"/>
      <w:marRight w:val="0"/>
      <w:marTop w:val="0"/>
      <w:marBottom w:val="0"/>
      <w:divBdr>
        <w:top w:val="none" w:sz="0" w:space="0" w:color="auto"/>
        <w:left w:val="none" w:sz="0" w:space="0" w:color="auto"/>
        <w:bottom w:val="none" w:sz="0" w:space="0" w:color="auto"/>
        <w:right w:val="none" w:sz="0" w:space="0" w:color="auto"/>
      </w:divBdr>
    </w:div>
    <w:div w:id="271936137">
      <w:bodyDiv w:val="1"/>
      <w:marLeft w:val="0"/>
      <w:marRight w:val="0"/>
      <w:marTop w:val="0"/>
      <w:marBottom w:val="0"/>
      <w:divBdr>
        <w:top w:val="none" w:sz="0" w:space="0" w:color="auto"/>
        <w:left w:val="none" w:sz="0" w:space="0" w:color="auto"/>
        <w:bottom w:val="none" w:sz="0" w:space="0" w:color="auto"/>
        <w:right w:val="none" w:sz="0" w:space="0" w:color="auto"/>
      </w:divBdr>
    </w:div>
    <w:div w:id="941693099">
      <w:bodyDiv w:val="1"/>
      <w:marLeft w:val="0"/>
      <w:marRight w:val="0"/>
      <w:marTop w:val="0"/>
      <w:marBottom w:val="0"/>
      <w:divBdr>
        <w:top w:val="none" w:sz="0" w:space="0" w:color="auto"/>
        <w:left w:val="none" w:sz="0" w:space="0" w:color="auto"/>
        <w:bottom w:val="none" w:sz="0" w:space="0" w:color="auto"/>
        <w:right w:val="none" w:sz="0" w:space="0" w:color="auto"/>
      </w:divBdr>
    </w:div>
    <w:div w:id="1181893203">
      <w:bodyDiv w:val="1"/>
      <w:marLeft w:val="0"/>
      <w:marRight w:val="0"/>
      <w:marTop w:val="0"/>
      <w:marBottom w:val="0"/>
      <w:divBdr>
        <w:top w:val="none" w:sz="0" w:space="0" w:color="auto"/>
        <w:left w:val="none" w:sz="0" w:space="0" w:color="auto"/>
        <w:bottom w:val="none" w:sz="0" w:space="0" w:color="auto"/>
        <w:right w:val="none" w:sz="0" w:space="0" w:color="auto"/>
      </w:divBdr>
      <w:divsChild>
        <w:div w:id="901715124">
          <w:marLeft w:val="0"/>
          <w:marRight w:val="0"/>
          <w:marTop w:val="0"/>
          <w:marBottom w:val="0"/>
          <w:divBdr>
            <w:top w:val="none" w:sz="0" w:space="0" w:color="auto"/>
            <w:left w:val="none" w:sz="0" w:space="0" w:color="auto"/>
            <w:bottom w:val="none" w:sz="0" w:space="0" w:color="auto"/>
            <w:right w:val="none" w:sz="0" w:space="0" w:color="auto"/>
          </w:divBdr>
          <w:divsChild>
            <w:div w:id="348223151">
              <w:marLeft w:val="0"/>
              <w:marRight w:val="0"/>
              <w:marTop w:val="0"/>
              <w:marBottom w:val="0"/>
              <w:divBdr>
                <w:top w:val="single" w:sz="2" w:space="0" w:color="D9D9E3"/>
                <w:left w:val="single" w:sz="2" w:space="0" w:color="D9D9E3"/>
                <w:bottom w:val="single" w:sz="2" w:space="0" w:color="D9D9E3"/>
                <w:right w:val="single" w:sz="2" w:space="0" w:color="D9D9E3"/>
              </w:divBdr>
              <w:divsChild>
                <w:div w:id="380249581">
                  <w:marLeft w:val="0"/>
                  <w:marRight w:val="0"/>
                  <w:marTop w:val="0"/>
                  <w:marBottom w:val="0"/>
                  <w:divBdr>
                    <w:top w:val="single" w:sz="2" w:space="0" w:color="D9D9E3"/>
                    <w:left w:val="single" w:sz="2" w:space="0" w:color="D9D9E3"/>
                    <w:bottom w:val="single" w:sz="2" w:space="0" w:color="D9D9E3"/>
                    <w:right w:val="single" w:sz="2" w:space="0" w:color="D9D9E3"/>
                  </w:divBdr>
                  <w:divsChild>
                    <w:div w:id="704257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1471676">
          <w:marLeft w:val="0"/>
          <w:marRight w:val="0"/>
          <w:marTop w:val="0"/>
          <w:marBottom w:val="0"/>
          <w:divBdr>
            <w:top w:val="single" w:sz="2" w:space="0" w:color="D9D9E3"/>
            <w:left w:val="single" w:sz="2" w:space="0" w:color="D9D9E3"/>
            <w:bottom w:val="single" w:sz="2" w:space="0" w:color="D9D9E3"/>
            <w:right w:val="single" w:sz="2" w:space="0" w:color="D9D9E3"/>
          </w:divBdr>
          <w:divsChild>
            <w:div w:id="1763604197">
              <w:marLeft w:val="0"/>
              <w:marRight w:val="0"/>
              <w:marTop w:val="0"/>
              <w:marBottom w:val="0"/>
              <w:divBdr>
                <w:top w:val="single" w:sz="2" w:space="0" w:color="D9D9E3"/>
                <w:left w:val="single" w:sz="2" w:space="0" w:color="D9D9E3"/>
                <w:bottom w:val="single" w:sz="2" w:space="0" w:color="D9D9E3"/>
                <w:right w:val="single" w:sz="2" w:space="0" w:color="D9D9E3"/>
              </w:divBdr>
              <w:divsChild>
                <w:div w:id="2082559648">
                  <w:marLeft w:val="0"/>
                  <w:marRight w:val="0"/>
                  <w:marTop w:val="0"/>
                  <w:marBottom w:val="0"/>
                  <w:divBdr>
                    <w:top w:val="single" w:sz="2" w:space="0" w:color="D9D9E3"/>
                    <w:left w:val="single" w:sz="2" w:space="0" w:color="D9D9E3"/>
                    <w:bottom w:val="single" w:sz="2" w:space="0" w:color="D9D9E3"/>
                    <w:right w:val="single" w:sz="2" w:space="0" w:color="D9D9E3"/>
                  </w:divBdr>
                  <w:divsChild>
                    <w:div w:id="1861553319">
                      <w:marLeft w:val="0"/>
                      <w:marRight w:val="0"/>
                      <w:marTop w:val="0"/>
                      <w:marBottom w:val="0"/>
                      <w:divBdr>
                        <w:top w:val="single" w:sz="2" w:space="0" w:color="D9D9E3"/>
                        <w:left w:val="single" w:sz="2" w:space="0" w:color="D9D9E3"/>
                        <w:bottom w:val="single" w:sz="2" w:space="0" w:color="D9D9E3"/>
                        <w:right w:val="single" w:sz="2" w:space="0" w:color="D9D9E3"/>
                      </w:divBdr>
                      <w:divsChild>
                        <w:div w:id="761339276">
                          <w:marLeft w:val="0"/>
                          <w:marRight w:val="0"/>
                          <w:marTop w:val="0"/>
                          <w:marBottom w:val="0"/>
                          <w:divBdr>
                            <w:top w:val="single" w:sz="2" w:space="0" w:color="auto"/>
                            <w:left w:val="single" w:sz="2" w:space="0" w:color="auto"/>
                            <w:bottom w:val="single" w:sz="6" w:space="0" w:color="auto"/>
                            <w:right w:val="single" w:sz="2" w:space="0" w:color="auto"/>
                          </w:divBdr>
                          <w:divsChild>
                            <w:div w:id="1999113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955744">
                                  <w:marLeft w:val="0"/>
                                  <w:marRight w:val="0"/>
                                  <w:marTop w:val="0"/>
                                  <w:marBottom w:val="0"/>
                                  <w:divBdr>
                                    <w:top w:val="single" w:sz="2" w:space="0" w:color="D9D9E3"/>
                                    <w:left w:val="single" w:sz="2" w:space="0" w:color="D9D9E3"/>
                                    <w:bottom w:val="single" w:sz="2" w:space="0" w:color="D9D9E3"/>
                                    <w:right w:val="single" w:sz="2" w:space="0" w:color="D9D9E3"/>
                                  </w:divBdr>
                                  <w:divsChild>
                                    <w:div w:id="1367752754">
                                      <w:marLeft w:val="0"/>
                                      <w:marRight w:val="0"/>
                                      <w:marTop w:val="0"/>
                                      <w:marBottom w:val="0"/>
                                      <w:divBdr>
                                        <w:top w:val="single" w:sz="2" w:space="0" w:color="D9D9E3"/>
                                        <w:left w:val="single" w:sz="2" w:space="0" w:color="D9D9E3"/>
                                        <w:bottom w:val="single" w:sz="2" w:space="0" w:color="D9D9E3"/>
                                        <w:right w:val="single" w:sz="2" w:space="0" w:color="D9D9E3"/>
                                      </w:divBdr>
                                      <w:divsChild>
                                        <w:div w:id="1205681425">
                                          <w:marLeft w:val="0"/>
                                          <w:marRight w:val="0"/>
                                          <w:marTop w:val="0"/>
                                          <w:marBottom w:val="0"/>
                                          <w:divBdr>
                                            <w:top w:val="single" w:sz="2" w:space="0" w:color="D9D9E3"/>
                                            <w:left w:val="single" w:sz="2" w:space="0" w:color="D9D9E3"/>
                                            <w:bottom w:val="single" w:sz="2" w:space="0" w:color="D9D9E3"/>
                                            <w:right w:val="single" w:sz="2" w:space="0" w:color="D9D9E3"/>
                                          </w:divBdr>
                                          <w:divsChild>
                                            <w:div w:id="519047531">
                                              <w:marLeft w:val="0"/>
                                              <w:marRight w:val="0"/>
                                              <w:marTop w:val="0"/>
                                              <w:marBottom w:val="0"/>
                                              <w:divBdr>
                                                <w:top w:val="single" w:sz="2" w:space="0" w:color="D9D9E3"/>
                                                <w:left w:val="single" w:sz="2" w:space="0" w:color="D9D9E3"/>
                                                <w:bottom w:val="single" w:sz="2" w:space="0" w:color="D9D9E3"/>
                                                <w:right w:val="single" w:sz="2" w:space="0" w:color="D9D9E3"/>
                                              </w:divBdr>
                                              <w:divsChild>
                                                <w:div w:id="1712848957">
                                                  <w:marLeft w:val="0"/>
                                                  <w:marRight w:val="0"/>
                                                  <w:marTop w:val="0"/>
                                                  <w:marBottom w:val="0"/>
                                                  <w:divBdr>
                                                    <w:top w:val="single" w:sz="2" w:space="0" w:color="D9D9E3"/>
                                                    <w:left w:val="single" w:sz="2" w:space="0" w:color="D9D9E3"/>
                                                    <w:bottom w:val="single" w:sz="2" w:space="0" w:color="D9D9E3"/>
                                                    <w:right w:val="single" w:sz="2" w:space="0" w:color="D9D9E3"/>
                                                  </w:divBdr>
                                                  <w:divsChild>
                                                    <w:div w:id="1529950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0889194">
                          <w:marLeft w:val="0"/>
                          <w:marRight w:val="0"/>
                          <w:marTop w:val="0"/>
                          <w:marBottom w:val="0"/>
                          <w:divBdr>
                            <w:top w:val="single" w:sz="2" w:space="0" w:color="D9D9E3"/>
                            <w:left w:val="single" w:sz="2" w:space="0" w:color="D9D9E3"/>
                            <w:bottom w:val="single" w:sz="2" w:space="0" w:color="D9D9E3"/>
                            <w:right w:val="single" w:sz="2" w:space="0" w:color="D9D9E3"/>
                          </w:divBdr>
                          <w:divsChild>
                            <w:div w:id="783231855">
                              <w:marLeft w:val="0"/>
                              <w:marRight w:val="0"/>
                              <w:marTop w:val="90"/>
                              <w:marBottom w:val="0"/>
                              <w:divBdr>
                                <w:top w:val="single" w:sz="2" w:space="0" w:color="D9D9E3"/>
                                <w:left w:val="single" w:sz="2" w:space="0" w:color="D9D9E3"/>
                                <w:bottom w:val="single" w:sz="2" w:space="0" w:color="D9D9E3"/>
                                <w:right w:val="single" w:sz="2" w:space="0" w:color="D9D9E3"/>
                              </w:divBdr>
                              <w:divsChild>
                                <w:div w:id="1454520969">
                                  <w:marLeft w:val="0"/>
                                  <w:marRight w:val="0"/>
                                  <w:marTop w:val="0"/>
                                  <w:marBottom w:val="0"/>
                                  <w:divBdr>
                                    <w:top w:val="single" w:sz="2" w:space="0" w:color="D9D9E3"/>
                                    <w:left w:val="single" w:sz="2" w:space="0" w:color="D9D9E3"/>
                                    <w:bottom w:val="single" w:sz="2" w:space="0" w:color="D9D9E3"/>
                                    <w:right w:val="single" w:sz="2" w:space="0" w:color="D9D9E3"/>
                                  </w:divBdr>
                                  <w:divsChild>
                                    <w:div w:id="78840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8154227">
      <w:bodyDiv w:val="1"/>
      <w:marLeft w:val="0"/>
      <w:marRight w:val="0"/>
      <w:marTop w:val="0"/>
      <w:marBottom w:val="0"/>
      <w:divBdr>
        <w:top w:val="none" w:sz="0" w:space="0" w:color="auto"/>
        <w:left w:val="none" w:sz="0" w:space="0" w:color="auto"/>
        <w:bottom w:val="none" w:sz="0" w:space="0" w:color="auto"/>
        <w:right w:val="none" w:sz="0" w:space="0" w:color="auto"/>
      </w:divBdr>
    </w:div>
    <w:div w:id="1696152016">
      <w:bodyDiv w:val="1"/>
      <w:marLeft w:val="0"/>
      <w:marRight w:val="0"/>
      <w:marTop w:val="0"/>
      <w:marBottom w:val="0"/>
      <w:divBdr>
        <w:top w:val="none" w:sz="0" w:space="0" w:color="auto"/>
        <w:left w:val="none" w:sz="0" w:space="0" w:color="auto"/>
        <w:bottom w:val="none" w:sz="0" w:space="0" w:color="auto"/>
        <w:right w:val="none" w:sz="0" w:space="0" w:color="auto"/>
      </w:divBdr>
    </w:div>
    <w:div w:id="1934390660">
      <w:bodyDiv w:val="1"/>
      <w:marLeft w:val="0"/>
      <w:marRight w:val="0"/>
      <w:marTop w:val="0"/>
      <w:marBottom w:val="0"/>
      <w:divBdr>
        <w:top w:val="none" w:sz="0" w:space="0" w:color="auto"/>
        <w:left w:val="none" w:sz="0" w:space="0" w:color="auto"/>
        <w:bottom w:val="none" w:sz="0" w:space="0" w:color="auto"/>
        <w:right w:val="none" w:sz="0" w:space="0" w:color="auto"/>
      </w:divBdr>
    </w:div>
    <w:div w:id="197514114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public.tableau.com/app/profile/vinaya.nayak/vizz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75CCD0543316478680188C854D338D" ma:contentTypeVersion="3" ma:contentTypeDescription="Create a new document." ma:contentTypeScope="" ma:versionID="8e4931c19487afb7d299c7fc46a76b42">
  <xsd:schema xmlns:xsd="http://www.w3.org/2001/XMLSchema" xmlns:xs="http://www.w3.org/2001/XMLSchema" xmlns:p="http://schemas.microsoft.com/office/2006/metadata/properties" xmlns:ns2="80bf6a00-b631-4ab0-b6b8-b74c4d6da88c" targetNamespace="http://schemas.microsoft.com/office/2006/metadata/properties" ma:root="true" ma:fieldsID="c00df47d628c02d6a4c19f53ec7a96ce" ns2:_="">
    <xsd:import namespace="80bf6a00-b631-4ab0-b6b8-b74c4d6da88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f6a00-b631-4ab0-b6b8-b74c4d6da8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F3448D-C88F-4007-BF0A-3B07393E522C}">
  <ds:schemaRefs>
    <ds:schemaRef ds:uri="http://schemas.microsoft.com/sharepoint/v3/contenttype/forms"/>
  </ds:schemaRefs>
</ds:datastoreItem>
</file>

<file path=customXml/itemProps2.xml><?xml version="1.0" encoding="utf-8"?>
<ds:datastoreItem xmlns:ds="http://schemas.openxmlformats.org/officeDocument/2006/customXml" ds:itemID="{C8E2170B-64F2-4C97-9F64-FF4A4E00C0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9C1B2-1E1B-4305-8AB9-56293B8BC6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f6a00-b631-4ab0-b6b8-b74c4d6da8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1687</Words>
  <Characters>9618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khurana3@usf.edu</dc:creator>
  <cp:keywords/>
  <dc:description/>
  <cp:lastModifiedBy>Raghav Khurana</cp:lastModifiedBy>
  <cp:revision>169</cp:revision>
  <dcterms:created xsi:type="dcterms:W3CDTF">2023-03-24T22:37:00Z</dcterms:created>
  <dcterms:modified xsi:type="dcterms:W3CDTF">2023-10-31T10:44:00Z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0x010100B075CCD0543316478680188C854D338D</vt:lpwstr>
  </property>
</Properties>
</file>