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1F3864"/>
          <w:sz w:val="22"/>
          <w:szCs w:val="22"/>
        </w:rPr>
        <w:t xml:space="preserve">Cedar Mutual Insurance</w:t>
      </w:r>
    </w:p>
    <w:p>
      <w:pPr>
        <w:spacing w:after="200"/>
        <w:jc w:val="center"/>
      </w:pPr>
      <w:r>
        <w:rPr>
          <w:rFonts w:ascii="Calibri" w:cs="Calibri" w:eastAsia="Calibri" w:hAnsi="Calibri"/>
          <w:color w:val="595959"/>
          <w:sz w:val="20"/>
          <w:szCs w:val="20"/>
        </w:rPr>
        <w:t xml:space="preserve">Information Technology Policy</w:t>
      </w:r>
    </w:p>
    <w:p>
      <w:pPr>
        <w:spacing w:after="100"/>
        <w:jc w:val="center"/>
      </w:pPr>
      <w:r>
        <w:rPr>
          <w:rFonts w:ascii="Calibri" w:cs="Calibri" w:eastAsia="Calibri" w:hAnsi="Calibri"/>
          <w:b/>
          <w:bCs/>
          <w:color w:val="1F3864"/>
          <w:sz w:val="44"/>
          <w:szCs w:val="44"/>
        </w:rPr>
        <w:t xml:space="preserve">Acceptable Use Policy</w:t>
      </w:r>
    </w:p>
    <w:p>
      <w:pPr>
        <w:spacing w:after="400"/>
        <w:jc w:val="center"/>
      </w:pPr>
      <w:r>
        <w:rPr>
          <w:rFonts w:ascii="Calibri" w:cs="Calibri" w:eastAsia="Calibri" w:hAnsi="Calibri"/>
          <w:i/>
          <w:iCs/>
          <w:color w:val="595959"/>
          <w:sz w:val="22"/>
          <w:szCs w:val="22"/>
        </w:rPr>
        <w:t xml:space="preserve">For collaboration tools, cloud storage, and information assets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default"/>
            </w:r>
          </w:p>
        </w:tc>
        <w:tc>
          <w:tcPr>
            <w:tcW w:type="dxa" w:w="7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defaul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default"/>
            </w:r>
          </w:p>
        </w:tc>
        <w:tc>
          <w:tcPr>
            <w:tcW w:type="dxa" w:w="7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defaul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default"/>
            </w:r>
          </w:p>
        </w:tc>
        <w:tc>
          <w:tcPr>
            <w:tcW w:type="dxa" w:w="7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defaul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default"/>
            </w:r>
          </w:p>
        </w:tc>
        <w:tc>
          <w:tcPr>
            <w:tcW w:type="dxa" w:w="7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default"/>
            </w:r>
          </w:p>
        </w:tc>
      </w:tr>
    </w:tbl>
    <w:p>
      <w:pPr>
        <w:pStyle w:val="Heading1"/>
        <w:spacing w:after="160" w:before="320"/>
      </w:pPr>
      <w:r>
        <w:rPr>
          <w:rFonts w:ascii="Calibri" w:cs="Calibri" w:eastAsia="Calibri" w:hAnsi="Calibri"/>
          <w:b/>
          <w:bCs/>
          <w:color w:val="1F3864"/>
          <w:sz w:val="28"/>
          <w:szCs w:val="28"/>
        </w:rPr>
        <w:t xml:space="preserve">1. Purpose</w:t>
      </w:r>
    </w:p>
    <w:p>
      <w:pPr>
        <w:spacing w:after="120" w:line="300"/>
      </w:pPr>
      <w:r>
        <w:rPr>
          <w:rFonts w:ascii="Calibri" w:cs="Calibri" w:eastAsia="Calibri" w:hAnsi="Calibri"/>
          <w:sz w:val="22"/>
          <w:szCs w:val="22"/>
        </w:rPr>
        <w:t xml:space="preserve">This Acceptable Use Policy ("AUP") defines how Cedar Mutual Insurance ("Cedar Mutual" or "the Company") employees, contractors, and authorized third parties may use Company information assets, collaboration tools, cloud storage services, and network resources. The policy supports Cedar Mutual's obligations under NAIC Model Regulation, applicable state insurance laws, and the Company's Information Security Program.</w:t>
      </w:r>
    </w:p>
    <w:p>
      <w:pPr>
        <w:pStyle w:val="Heading1"/>
        <w:spacing w:after="160" w:before="320"/>
      </w:pPr>
      <w:r>
        <w:rPr>
          <w:rFonts w:ascii="Calibri" w:cs="Calibri" w:eastAsia="Calibri" w:hAnsi="Calibri"/>
          <w:b/>
          <w:bCs/>
          <w:color w:val="1F3864"/>
          <w:sz w:val="28"/>
          <w:szCs w:val="28"/>
        </w:rPr>
        <w:t xml:space="preserve">2. Scope</w:t>
      </w:r>
    </w:p>
    <w:p>
      <w:pPr>
        <w:spacing w:after="120" w:line="300"/>
      </w:pPr>
      <w:r>
        <w:rPr>
          <w:rFonts w:ascii="Calibri" w:cs="Calibri" w:eastAsia="Calibri" w:hAnsi="Calibri"/>
          <w:sz w:val="22"/>
          <w:szCs w:val="22"/>
        </w:rPr>
        <w:t xml:space="preserve">This policy applies to:</w:t>
      </w:r>
    </w:p>
    <w:p>
      <w:pPr>
        <w:pStyle w:val="ListParagraph"/>
        <w:numPr>
          <w:ilvl w:val="0"/>
          <w:numId w:val="2"/>
        </w:numPr>
        <w:spacing w:after="60" w:line="300"/>
      </w:pPr>
      <w:r>
        <w:rPr>
          <w:rFonts w:ascii="Calibri" w:cs="Calibri" w:eastAsia="Calibri" w:hAnsi="Calibri"/>
          <w:sz w:val="22"/>
          <w:szCs w:val="22"/>
        </w:rPr>
        <w:t xml:space="preserve">All Cedar Mutual employees, regardless of role, location, or employment status.</w:t>
      </w:r>
    </w:p>
    <w:p>
      <w:pPr>
        <w:pStyle w:val="ListParagraph"/>
        <w:numPr>
          <w:ilvl w:val="0"/>
          <w:numId w:val="2"/>
        </w:numPr>
        <w:spacing w:after="60" w:line="300"/>
      </w:pPr>
      <w:r>
        <w:rPr>
          <w:rFonts w:ascii="Calibri" w:cs="Calibri" w:eastAsia="Calibri" w:hAnsi="Calibri"/>
          <w:sz w:val="22"/>
          <w:szCs w:val="22"/>
        </w:rPr>
        <w:t xml:space="preserve">All contractors and consultants engaged by Cedar Mutual.</w:t>
      </w:r>
    </w:p>
    <w:p>
      <w:pPr>
        <w:pStyle w:val="ListParagraph"/>
        <w:numPr>
          <w:ilvl w:val="0"/>
          <w:numId w:val="2"/>
        </w:numPr>
        <w:spacing w:after="60" w:line="300"/>
      </w:pPr>
      <w:r>
        <w:rPr>
          <w:rFonts w:ascii="Calibri" w:cs="Calibri" w:eastAsia="Calibri" w:hAnsi="Calibri"/>
          <w:sz w:val="22"/>
          <w:szCs w:val="22"/>
        </w:rPr>
        <w:t xml:space="preserve">All third parties granted access to Cedar Mutual information systems under a signed Master Services Agreement.</w:t>
      </w:r>
    </w:p>
    <w:p>
      <w:pPr>
        <w:pStyle w:val="ListParagraph"/>
        <w:numPr>
          <w:ilvl w:val="0"/>
          <w:numId w:val="2"/>
        </w:numPr>
        <w:spacing w:after="60" w:line="300"/>
      </w:pPr>
      <w:r>
        <w:rPr>
          <w:rFonts w:ascii="Calibri" w:cs="Calibri" w:eastAsia="Calibri" w:hAnsi="Calibri"/>
          <w:sz w:val="22"/>
          <w:szCs w:val="22"/>
        </w:rPr>
        <w:t xml:space="preserve">All Company-owned and personally-owned (BYOD) devices used to access Company information or services.</w:t>
      </w:r>
    </w:p>
    <w:p>
      <w:pPr>
        <w:pStyle w:val="Heading1"/>
        <w:spacing w:after="160" w:before="320"/>
      </w:pPr>
      <w:r>
        <w:rPr>
          <w:rFonts w:ascii="Calibri" w:cs="Calibri" w:eastAsia="Calibri" w:hAnsi="Calibri"/>
          <w:b/>
          <w:bCs/>
          <w:color w:val="1F3864"/>
          <w:sz w:val="28"/>
          <w:szCs w:val="28"/>
        </w:rPr>
        <w:t xml:space="preserve">3. Acceptable use principles</w:t>
      </w:r>
    </w:p>
    <w:p>
      <w:pPr>
        <w:pStyle w:val="ListParagraph"/>
        <w:numPr>
          <w:ilvl w:val="0"/>
          <w:numId w:val="3"/>
        </w:numPr>
        <w:spacing w:after="60" w:line="300"/>
      </w:pPr>
      <w:r>
        <w:rPr>
          <w:rFonts w:ascii="Calibri" w:cs="Calibri" w:eastAsia="Calibri" w:hAnsi="Calibri"/>
          <w:sz w:val="22"/>
          <w:szCs w:val="22"/>
        </w:rPr>
        <w:t xml:space="preserve">Information assets are Company property. Users have no expectation of privacy when using Company-provided systems, accounts, or networks for any purpose.</w:t>
      </w:r>
    </w:p>
    <w:p>
      <w:pPr>
        <w:pStyle w:val="ListParagraph"/>
        <w:numPr>
          <w:ilvl w:val="0"/>
          <w:numId w:val="3"/>
        </w:numPr>
        <w:spacing w:after="60" w:line="300"/>
      </w:pPr>
      <w:r>
        <w:rPr>
          <w:rFonts w:ascii="Calibri" w:cs="Calibri" w:eastAsia="Calibri" w:hAnsi="Calibri"/>
          <w:sz w:val="22"/>
          <w:szCs w:val="22"/>
        </w:rPr>
        <w:t xml:space="preserve">Use must be lawful, ethical, and consistent with the Cedar Mutual Code of Conduct.</w:t>
      </w:r>
    </w:p>
    <w:p>
      <w:pPr>
        <w:pStyle w:val="ListParagraph"/>
        <w:numPr>
          <w:ilvl w:val="0"/>
          <w:numId w:val="3"/>
        </w:numPr>
        <w:spacing w:after="60" w:line="300"/>
      </w:pPr>
      <w:r>
        <w:rPr>
          <w:rFonts w:ascii="Calibri" w:cs="Calibri" w:eastAsia="Calibri" w:hAnsi="Calibri"/>
          <w:sz w:val="22"/>
          <w:szCs w:val="22"/>
        </w:rPr>
        <w:t xml:space="preserve">Users are responsible for safeguarding credentials and reporting suspected compromise to the IT Service Desk within four (4) business hours of discovery.</w:t>
      </w:r>
    </w:p>
    <w:p>
      <w:pPr>
        <w:pStyle w:val="ListParagraph"/>
        <w:numPr>
          <w:ilvl w:val="0"/>
          <w:numId w:val="3"/>
        </w:numPr>
        <w:spacing w:after="60" w:line="300"/>
      </w:pPr>
      <w:r>
        <w:rPr>
          <w:rFonts w:ascii="Calibri" w:cs="Calibri" w:eastAsia="Calibri" w:hAnsi="Calibri"/>
          <w:sz w:val="22"/>
          <w:szCs w:val="22"/>
        </w:rPr>
        <w:t xml:space="preserve">Data classification (as defined in the Data Classification Policy, POL-IT-014) governs which tools may be used for which information.</w:t>
      </w:r>
    </w:p>
    <w:p>
      <w:pPr>
        <w:pStyle w:val="Heading1"/>
        <w:spacing w:after="160" w:before="320"/>
      </w:pPr>
      <w:r>
        <w:rPr>
          <w:rFonts w:ascii="Calibri" w:cs="Calibri" w:eastAsia="Calibri" w:hAnsi="Calibri"/>
          <w:b/>
          <w:bCs/>
          <w:color w:val="1F3864"/>
          <w:sz w:val="28"/>
          <w:szCs w:val="28"/>
        </w:rPr>
        <w:t xml:space="preserve">4. Approved collaboration and storage tools</w:t>
      </w:r>
    </w:p>
    <w:p>
      <w:pPr>
        <w:spacing w:after="120" w:line="300"/>
      </w:pPr>
      <w:r>
        <w:rPr>
          <w:rFonts w:ascii="Calibri" w:cs="Calibri" w:eastAsia="Calibri" w:hAnsi="Calibri"/>
          <w:sz w:val="22"/>
          <w:szCs w:val="22"/>
        </w:rPr>
        <w:t xml:space="preserve">The tools listed in this section have been reviewed and approved by the Office of the CIO and the Information Security team. Users shall only use approved tools for the storage and exchange of Company information.</w:t>
      </w:r>
    </w:p>
    <w:p>
      <w:pPr>
        <w:pStyle w:val="Heading2"/>
        <w:spacing w:after="120" w:before="240"/>
      </w:pPr>
      <w:r>
        <w:rPr>
          <w:rFonts w:ascii="Calibri" w:cs="Calibri" w:eastAsia="Calibri" w:hAnsi="Calibri"/>
          <w:b/>
          <w:bCs/>
          <w:color w:val="1F3864"/>
          <w:sz w:val="24"/>
          <w:szCs w:val="24"/>
        </w:rPr>
        <w:t xml:space="preserve">4.1 Productivity suite</w:t>
      </w:r>
    </w:p>
    <w:p>
      <w:pPr>
        <w:spacing w:after="120" w:line="300"/>
      </w:pPr>
      <w:r>
        <w:rPr>
          <w:rFonts w:ascii="Calibri" w:cs="Calibri" w:eastAsia="Calibri" w:hAnsi="Calibri"/>
          <w:sz w:val="22"/>
          <w:szCs w:val="22"/>
        </w:rPr>
        <w:t xml:space="preserve">Microsoft 365 (Word, Excel, PowerPoint, Outlook, Teams) is the Company-standard productivity suite. All employees are licensed and required to use this suite for internal document creation, calendaring, and communication.</w:t>
      </w:r>
    </w:p>
    <w:p>
      <w:pPr>
        <w:pStyle w:val="Heading2"/>
        <w:spacing w:after="120" w:before="240"/>
      </w:pPr>
      <w:r>
        <w:rPr>
          <w:rFonts w:ascii="Calibri" w:cs="Calibri" w:eastAsia="Calibri" w:hAnsi="Calibri"/>
          <w:b/>
          <w:bCs/>
          <w:color w:val="1F3864"/>
          <w:sz w:val="24"/>
          <w:szCs w:val="24"/>
        </w:rPr>
        <w:t xml:space="preserve">4.2 Approved cloud storage for business files</w:t>
      </w:r>
    </w:p>
    <w:p>
      <w:pPr>
        <w:spacing w:after="120" w:line="300"/>
      </w:pPr>
      <w:r>
        <w:rPr>
          <w:rFonts w:ascii="Calibri" w:cs="Calibri" w:eastAsia="Calibri" w:hAnsi="Calibri"/>
          <w:sz w:val="22"/>
          <w:szCs w:val="22"/>
        </w:rPr>
        <w:t xml:space="preserve">The following cloud storage services are approved for storing and sharing Company business files, subject to the data classification rules in section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480"/>
      </w:tblGrid>
      <w:tr>
        <w:trPr>
          <w:tblHeader/>
        </w:trPr>
        <w:tc>
          <w:tcPr>
            <w:tcW w:type="dxa" w:w="27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Service</w:t>
            </w:r>
          </w:p>
        </w:tc>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Tier</w:t>
            </w:r>
          </w:p>
        </w:tc>
        <w:tc>
          <w:tcPr>
            <w:tcW w:type="dxa" w:w="54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Approved use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Microsoft OneDrive for Business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Primary</w:t>
            </w:r>
          </w:p>
        </w:tc>
        <w:tc>
          <w:tcPr>
            <w:tcW w:type="dxa" w:w="5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Default cloud storage for all internal employee files. Provisioned automatically with the M365 license. All Internal and Confidential data should reside here unless an external collaboration need applies.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Microsoft SharePoint Online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Primary</w:t>
            </w:r>
          </w:p>
        </w:tc>
        <w:tc>
          <w:tcPr>
            <w:tcW w:type="dxa" w:w="5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Team and department shared content libraries. Document management, version control, and intranet publishing.</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Dropbox Business (Enterprise tenant)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Approved</w:t>
            </w:r>
          </w:p>
        </w:tc>
        <w:tc>
          <w:tcPr>
            <w:tcW w:type="dxa" w:w="5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Approved for external file sharing with auditors, regulators, brokers, and contractually-bound third parties when the recipient organization does not support Microsoft 365 external sharing. Use the Cedar Mutual Dropbox Business tenant only; personal Dropbox accounts are prohibited (see section 5).</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Box (Enterprise tenant)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Approved</w:t>
            </w:r>
          </w:p>
        </w:tc>
        <w:tc>
          <w:tcPr>
            <w:tcW w:type="dxa" w:w="54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Approved for specific vendor-managed workflows where Box is the contractually-required exchange platform (currently: claims-document exchange with Travelers Reinsurance and policy-form exchange with Verisk).</w:t>
            </w:r>
          </w:p>
        </w:tc>
      </w:tr>
    </w:tbl>
    <w:p>
      <w:pPr>
        <w:spacing w:after="120" w:line="300"/>
      </w:pPr>
      <w:r>
        <w:rPr>
          <w:rFonts w:ascii="Calibri" w:cs="Calibri" w:eastAsia="Calibri" w:hAnsi="Calibri"/>
          <w:sz w:val="22"/>
          <w:szCs w:val="22"/>
        </w:rPr>
        <w:t xml:space="preserve">Use of an approved cloud storage service does not by itself authorize storage of Confidential, Restricted, or Regulated information. Refer to section 5 for data classification rules.</w:t>
      </w:r>
    </w:p>
    <w:p>
      <w:pPr>
        <w:pStyle w:val="Heading2"/>
        <w:spacing w:after="120" w:before="240"/>
      </w:pPr>
      <w:r>
        <w:rPr>
          <w:rFonts w:ascii="Calibri" w:cs="Calibri" w:eastAsia="Calibri" w:hAnsi="Calibri"/>
          <w:b/>
          <w:bCs/>
          <w:color w:val="1F3864"/>
          <w:sz w:val="24"/>
          <w:szCs w:val="24"/>
        </w:rPr>
        <w:t xml:space="preserve">4.3 Messaging and conferencing</w:t>
      </w:r>
    </w:p>
    <w:p>
      <w:pPr>
        <w:pStyle w:val="ListParagraph"/>
        <w:numPr>
          <w:ilvl w:val="0"/>
          <w:numId w:val="2"/>
        </w:numPr>
        <w:spacing w:after="60" w:line="300"/>
      </w:pPr>
      <w:r>
        <w:rPr>
          <w:rFonts w:ascii="Calibri" w:cs="Calibri" w:eastAsia="Calibri" w:hAnsi="Calibri"/>
          <w:sz w:val="22"/>
          <w:szCs w:val="22"/>
        </w:rPr>
        <w:t xml:space="preserve">Microsoft Teams (chat, channels, video, screen-share) is the approved internal messaging platform.</w:t>
      </w:r>
    </w:p>
    <w:p>
      <w:pPr>
        <w:pStyle w:val="ListParagraph"/>
        <w:numPr>
          <w:ilvl w:val="0"/>
          <w:numId w:val="2"/>
        </w:numPr>
        <w:spacing w:after="60" w:line="300"/>
      </w:pPr>
      <w:r>
        <w:rPr>
          <w:rFonts w:ascii="Calibri" w:cs="Calibri" w:eastAsia="Calibri" w:hAnsi="Calibri"/>
          <w:sz w:val="22"/>
          <w:szCs w:val="22"/>
        </w:rPr>
        <w:t xml:space="preserve">Zoom is approved for client-facing video meetings only.</w:t>
      </w:r>
    </w:p>
    <w:p>
      <w:pPr>
        <w:pStyle w:val="ListParagraph"/>
        <w:numPr>
          <w:ilvl w:val="0"/>
          <w:numId w:val="2"/>
        </w:numPr>
        <w:spacing w:after="60" w:line="300"/>
      </w:pPr>
      <w:r>
        <w:rPr>
          <w:rFonts w:ascii="Calibri" w:cs="Calibri" w:eastAsia="Calibri" w:hAnsi="Calibri"/>
          <w:sz w:val="22"/>
          <w:szCs w:val="22"/>
        </w:rPr>
        <w:t xml:space="preserve">Signal and WhatsApp are approved for business use by the Executive Protection program; not approved for general use.</w:t>
      </w:r>
    </w:p>
    <w:p>
      <w:pPr>
        <w:pStyle w:val="Heading2"/>
        <w:spacing w:after="120" w:before="240"/>
      </w:pPr>
      <w:r>
        <w:rPr>
          <w:rFonts w:ascii="Calibri" w:cs="Calibri" w:eastAsia="Calibri" w:hAnsi="Calibri"/>
          <w:b/>
          <w:bCs/>
          <w:color w:val="1F3864"/>
          <w:sz w:val="24"/>
          <w:szCs w:val="24"/>
        </w:rPr>
        <w:t xml:space="preserve">4.4 Other approved tools</w:t>
      </w:r>
    </w:p>
    <w:p>
      <w:pPr>
        <w:pStyle w:val="ListParagraph"/>
        <w:numPr>
          <w:ilvl w:val="0"/>
          <w:numId w:val="2"/>
        </w:numPr>
        <w:spacing w:after="60" w:line="300"/>
      </w:pPr>
      <w:r>
        <w:rPr>
          <w:rFonts w:ascii="Calibri" w:cs="Calibri" w:eastAsia="Calibri" w:hAnsi="Calibri"/>
          <w:sz w:val="22"/>
          <w:szCs w:val="22"/>
        </w:rPr>
        <w:t xml:space="preserve">GitHub Enterprise (cedarmutual.github.com) for source code, infrastructure-as-code, and runbooks.</w:t>
      </w:r>
    </w:p>
    <w:p>
      <w:pPr>
        <w:pStyle w:val="ListParagraph"/>
        <w:numPr>
          <w:ilvl w:val="0"/>
          <w:numId w:val="2"/>
        </w:numPr>
        <w:spacing w:after="60" w:line="300"/>
      </w:pPr>
      <w:r>
        <w:rPr>
          <w:rFonts w:ascii="Calibri" w:cs="Calibri" w:eastAsia="Calibri" w:hAnsi="Calibri"/>
          <w:sz w:val="22"/>
          <w:szCs w:val="22"/>
        </w:rPr>
        <w:t xml:space="preserve">ServiceNow (cedarmutual.service-now.com) for IT service management and GRC.</w:t>
      </w:r>
    </w:p>
    <w:p>
      <w:pPr>
        <w:pStyle w:val="ListParagraph"/>
        <w:numPr>
          <w:ilvl w:val="0"/>
          <w:numId w:val="2"/>
        </w:numPr>
        <w:spacing w:after="60" w:line="300"/>
      </w:pPr>
      <w:r>
        <w:rPr>
          <w:rFonts w:ascii="Calibri" w:cs="Calibri" w:eastAsia="Calibri" w:hAnsi="Calibri"/>
          <w:sz w:val="22"/>
          <w:szCs w:val="22"/>
        </w:rPr>
        <w:t xml:space="preserve">Jira and Confluence (Atlassian Cloud) for engineering and project management.</w:t>
      </w:r>
    </w:p>
    <w:p>
      <w:pPr>
        <w:pStyle w:val="ListParagraph"/>
        <w:numPr>
          <w:ilvl w:val="0"/>
          <w:numId w:val="2"/>
        </w:numPr>
        <w:spacing w:after="60" w:line="300"/>
      </w:pPr>
      <w:r>
        <w:rPr>
          <w:rFonts w:ascii="Calibri" w:cs="Calibri" w:eastAsia="Calibri" w:hAnsi="Calibri"/>
          <w:sz w:val="22"/>
          <w:szCs w:val="22"/>
        </w:rPr>
        <w:t xml:space="preserve">Salesforce for client and broker relationship management.</w:t>
      </w:r>
    </w:p>
    <w:p>
      <w:pPr>
        <w:pStyle w:val="Heading1"/>
        <w:spacing w:after="160" w:before="320"/>
      </w:pPr>
      <w:r>
        <w:rPr>
          <w:rFonts w:ascii="Calibri" w:cs="Calibri" w:eastAsia="Calibri" w:hAnsi="Calibri"/>
          <w:b/>
          <w:bCs/>
          <w:color w:val="1F3864"/>
          <w:sz w:val="28"/>
          <w:szCs w:val="28"/>
        </w:rPr>
        <w:t xml:space="preserve">5. Prohibited tools and behaviors</w:t>
      </w:r>
    </w:p>
    <w:p>
      <w:pPr>
        <w:spacing w:after="120" w:line="300"/>
      </w:pPr>
      <w:r>
        <w:rPr>
          <w:rFonts w:ascii="Calibri" w:cs="Calibri" w:eastAsia="Calibri" w:hAnsi="Calibri"/>
          <w:sz w:val="22"/>
          <w:szCs w:val="22"/>
        </w:rPr>
        <w:t xml:space="preserve">The following tools and behaviors are prohibited regardless of business justification. Use of any prohibited tool to handle Company information is a violation of this policy and the Information Security Program.</w:t>
      </w:r>
    </w:p>
    <w:p>
      <w:pPr>
        <w:pStyle w:val="ListParagraph"/>
        <w:numPr>
          <w:ilvl w:val="0"/>
          <w:numId w:val="2"/>
        </w:numPr>
        <w:spacing w:after="60" w:line="300"/>
      </w:pPr>
      <w:r>
        <w:rPr>
          <w:rFonts w:ascii="Calibri" w:cs="Calibri" w:eastAsia="Calibri" w:hAnsi="Calibri"/>
          <w:sz w:val="22"/>
          <w:szCs w:val="22"/>
        </w:rPr>
        <w:t xml:space="preserve">Personal cloud storage accounts of any kind, including personal Dropbox, personal Google Drive, personal iCloud, and personal OneDrive.</w:t>
      </w:r>
    </w:p>
    <w:p>
      <w:pPr>
        <w:pStyle w:val="ListParagraph"/>
        <w:numPr>
          <w:ilvl w:val="0"/>
          <w:numId w:val="2"/>
        </w:numPr>
        <w:spacing w:after="60" w:line="300"/>
      </w:pPr>
      <w:r>
        <w:rPr>
          <w:rFonts w:ascii="Calibri" w:cs="Calibri" w:eastAsia="Calibri" w:hAnsi="Calibri"/>
          <w:sz w:val="22"/>
          <w:szCs w:val="22"/>
        </w:rPr>
        <w:t xml:space="preserve">Google Drive (any tier) for storage or exchange of Company information. Cedar Mutual does not operate a Google Workspace tenant.</w:t>
      </w:r>
    </w:p>
    <w:p>
      <w:pPr>
        <w:pStyle w:val="ListParagraph"/>
        <w:numPr>
          <w:ilvl w:val="0"/>
          <w:numId w:val="2"/>
        </w:numPr>
        <w:spacing w:after="60" w:line="300"/>
      </w:pPr>
      <w:r>
        <w:rPr>
          <w:rFonts w:ascii="Calibri" w:cs="Calibri" w:eastAsia="Calibri" w:hAnsi="Calibri"/>
          <w:sz w:val="22"/>
          <w:szCs w:val="22"/>
        </w:rPr>
        <w:t xml:space="preserve">Public file-transfer services such as WeTransfer, Send Anywhere, MyAirBridge for any data classified Internal or higher.</w:t>
      </w:r>
    </w:p>
    <w:p>
      <w:pPr>
        <w:pStyle w:val="ListParagraph"/>
        <w:numPr>
          <w:ilvl w:val="0"/>
          <w:numId w:val="2"/>
        </w:numPr>
        <w:spacing w:after="60" w:line="300"/>
      </w:pPr>
      <w:r>
        <w:rPr>
          <w:rFonts w:ascii="Calibri" w:cs="Calibri" w:eastAsia="Calibri" w:hAnsi="Calibri"/>
          <w:sz w:val="22"/>
          <w:szCs w:val="22"/>
        </w:rPr>
        <w:t xml:space="preserve">Consumer messaging applications (Facebook Messenger, Telegram, Discord) for business communication.</w:t>
      </w:r>
    </w:p>
    <w:p>
      <w:pPr>
        <w:pStyle w:val="ListParagraph"/>
        <w:numPr>
          <w:ilvl w:val="0"/>
          <w:numId w:val="2"/>
        </w:numPr>
        <w:spacing w:after="60" w:line="300"/>
      </w:pPr>
      <w:r>
        <w:rPr>
          <w:rFonts w:ascii="Calibri" w:cs="Calibri" w:eastAsia="Calibri" w:hAnsi="Calibri"/>
          <w:sz w:val="22"/>
          <w:szCs w:val="22"/>
        </w:rPr>
        <w:t xml:space="preserve">Peer-to-peer file-sharing software (BitTorrent, eMule) on any Company-connected device.</w:t>
      </w:r>
    </w:p>
    <w:p>
      <w:pPr>
        <w:pStyle w:val="ListParagraph"/>
        <w:numPr>
          <w:ilvl w:val="0"/>
          <w:numId w:val="2"/>
        </w:numPr>
        <w:spacing w:after="60" w:line="300"/>
      </w:pPr>
      <w:r>
        <w:rPr>
          <w:rFonts w:ascii="Calibri" w:cs="Calibri" w:eastAsia="Calibri" w:hAnsi="Calibri"/>
          <w:sz w:val="22"/>
          <w:szCs w:val="22"/>
        </w:rPr>
        <w:t xml:space="preserve">AI assistants and language models that have not been approved by the AI Governance Council. The current approved list is published in POL-IT-026 (AI Acceptable Use).</w:t>
      </w:r>
    </w:p>
    <w:p>
      <w:pPr>
        <w:pStyle w:val="ListParagraph"/>
        <w:numPr>
          <w:ilvl w:val="0"/>
          <w:numId w:val="2"/>
        </w:numPr>
        <w:spacing w:after="60" w:line="300"/>
      </w:pPr>
      <w:r>
        <w:rPr>
          <w:rFonts w:ascii="Calibri" w:cs="Calibri" w:eastAsia="Calibri" w:hAnsi="Calibri"/>
          <w:sz w:val="22"/>
          <w:szCs w:val="22"/>
        </w:rPr>
        <w:t xml:space="preserve">Browser extensions that modify, intercept, or transmit page content, except those on the Endpoint Engineering allow-list.</w:t>
      </w:r>
    </w:p>
    <w:p>
      <w:pPr>
        <w:pStyle w:val="Heading1"/>
        <w:spacing w:after="160" w:before="320"/>
      </w:pPr>
      <w:r>
        <w:rPr>
          <w:rFonts w:ascii="Calibri" w:cs="Calibri" w:eastAsia="Calibri" w:hAnsi="Calibri"/>
          <w:b/>
          <w:bCs/>
          <w:color w:val="1F3864"/>
          <w:sz w:val="28"/>
          <w:szCs w:val="28"/>
        </w:rPr>
        <w:t xml:space="preserve">6. Data classification rules</w:t>
      </w:r>
    </w:p>
    <w:p>
      <w:pPr>
        <w:spacing w:after="120" w:line="300"/>
      </w:pPr>
      <w:r>
        <w:rPr>
          <w:rFonts w:ascii="Calibri" w:cs="Calibri" w:eastAsia="Calibri" w:hAnsi="Calibri"/>
          <w:sz w:val="22"/>
          <w:szCs w:val="22"/>
        </w:rPr>
        <w:t xml:space="preserve">Data classification is governed by the Data Classification Policy (POL-IT-014). The applicability matrix below is provided for convenience; the source-of-truth definitions and rules live in POL-IT-014.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800"/>
        <w:gridCol w:w="3180"/>
      </w:tblGrid>
      <w:tr>
        <w:trPr>
          <w:tblHeader/>
        </w:trPr>
        <w:tc>
          <w:tcPr>
            <w:tcW w:type="dxa" w:w="19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Classification</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Examples</w:t>
            </w:r>
          </w:p>
        </w:tc>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Approved storage</w:t>
            </w:r>
          </w:p>
        </w:tc>
        <w:tc>
          <w:tcPr>
            <w:tcW w:type="dxa" w:w="31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Approved external sharing</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Public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Press releases, public web content</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Any approved tool</w:t>
            </w:r>
          </w:p>
        </w:tc>
        <w:tc>
          <w:tcPr>
            <w:tcW w:type="dxa" w:w="3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Any approved tool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Internal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Internal memos, employee directory entries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OneDrive, SharePoint Online</w:t>
            </w:r>
          </w:p>
        </w:tc>
        <w:tc>
          <w:tcPr>
            <w:tcW w:type="dxa" w:w="3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OneDrive (signed-in users); Dropbox Business or Box where the recipient does not support M365</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Confidential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Underwriting models, policyholder PII, claims data</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OneDrive or SharePoint Online with sensitivity label "Confidential"</w:t>
            </w:r>
          </w:p>
        </w:tc>
        <w:tc>
          <w:tcPr>
            <w:tcW w:type="dxa" w:w="3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Dropbox Business or Box, only with sensitivity label applied and recipient under signed NDA</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Regulated</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PCI-DSS cardholder data, NAIC-restricted policyholder data</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Approved regulated-data systems only (Guidewire, Duck Creek); not in general-purpose cloud storage</w:t>
            </w:r>
          </w:p>
        </w:tc>
        <w:tc>
          <w:tcPr>
            <w:tcW w:type="dxa" w:w="31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Must follow data-sharing agreements; out of scope for this AUP</w:t>
            </w:r>
          </w:p>
        </w:tc>
      </w:tr>
    </w:tbl>
    <w:p>
      <w:pPr>
        <w:pStyle w:val="Heading1"/>
        <w:spacing w:after="160" w:before="320"/>
      </w:pPr>
      <w:r>
        <w:rPr>
          <w:rFonts w:ascii="Calibri" w:cs="Calibri" w:eastAsia="Calibri" w:hAnsi="Calibri"/>
          <w:b/>
          <w:bCs/>
          <w:color w:val="1F3864"/>
          <w:sz w:val="28"/>
          <w:szCs w:val="28"/>
        </w:rPr>
        <w:t xml:space="preserve">7. Compliance and enforcement</w:t>
      </w:r>
    </w:p>
    <w:p>
      <w:pPr>
        <w:spacing w:after="120" w:line="300"/>
      </w:pPr>
      <w:r>
        <w:rPr>
          <w:rFonts w:ascii="Calibri" w:cs="Calibri" w:eastAsia="Calibri" w:hAnsi="Calibri"/>
          <w:sz w:val="22"/>
          <w:szCs w:val="22"/>
        </w:rPr>
        <w:t xml:space="preserve">The Information Security team monitors compliance with this policy through automated controls (data loss prevention, cloud access security broker, endpoint detection), network controls (Zscaler Internet Access, Zscaler Private Access), and periodic audits.</w:t>
      </w:r>
    </w:p>
    <w:p>
      <w:pPr>
        <w:spacing w:after="120" w:line="300"/>
      </w:pPr>
      <w:r>
        <w:rPr>
          <w:rFonts w:ascii="Calibri" w:cs="Calibri" w:eastAsia="Calibri" w:hAnsi="Calibri"/>
          <w:sz w:val="22"/>
          <w:szCs w:val="22"/>
        </w:rPr>
        <w:t xml:space="preserve">Violations of this policy may result in disciplinary action up to and including termination of employment or contract, and where applicable, civil or criminal proceedings under federal or state law.</w:t>
      </w:r>
    </w:p>
    <w:p>
      <w:pPr>
        <w:pStyle w:val="Heading1"/>
        <w:spacing w:after="160" w:before="320"/>
      </w:pPr>
      <w:r>
        <w:rPr>
          <w:rFonts w:ascii="Calibri" w:cs="Calibri" w:eastAsia="Calibri" w:hAnsi="Calibri"/>
          <w:b/>
          <w:bCs/>
          <w:color w:val="1F3864"/>
          <w:sz w:val="28"/>
          <w:szCs w:val="28"/>
        </w:rPr>
        <w:t xml:space="preserve">8. Exceptions process</w:t>
      </w:r>
    </w:p>
    <w:p>
      <w:pPr>
        <w:spacing w:after="120" w:line="300"/>
      </w:pPr>
      <w:r>
        <w:rPr>
          <w:rFonts w:ascii="Calibri" w:cs="Calibri" w:eastAsia="Calibri" w:hAnsi="Calibri"/>
          <w:sz w:val="22"/>
          <w:szCs w:val="22"/>
        </w:rPr>
        <w:t xml:space="preserve">Exceptions to this policy require written approval from the Chief Information Security Officer and the business unit owner. Exception requests shall be submitted via ServiceNow (form SR-IT-AUP-EXC). Each exception is reviewed annually and may be revoked at any time.</w:t>
      </w:r>
    </w:p>
    <w:p>
      <w:pPr>
        <w:spacing w:after="120" w:line="300"/>
      </w:pPr>
      <w:r>
        <w:rPr>
          <w:rFonts w:ascii="Calibri" w:cs="Calibri" w:eastAsia="Calibri" w:hAnsi="Calibri"/>
          <w:sz w:val="22"/>
          <w:szCs w:val="22"/>
        </w:rPr>
        <w:t xml:space="preserve">Common exception categories include vendor-mandated tooling, regulatory requirement for a specific platform, and time-bounded engagements with third parties where standard tooling is not available to the third party.</w:t>
      </w:r>
    </w:p>
    <w:p>
      <w:pPr>
        <w:pStyle w:val="Heading1"/>
        <w:spacing w:after="160" w:before="320"/>
      </w:pPr>
      <w:r>
        <w:rPr>
          <w:rFonts w:ascii="Calibri" w:cs="Calibri" w:eastAsia="Calibri" w:hAnsi="Calibri"/>
          <w:b/>
          <w:bCs/>
          <w:color w:val="1F3864"/>
          <w:sz w:val="28"/>
          <w:szCs w:val="28"/>
        </w:rPr>
        <w:t xml:space="preserve">9. Definitions</w:t>
      </w:r>
    </w:p>
    <w:p>
      <w:pPr>
        <w:pStyle w:val="ListParagraph"/>
        <w:numPr>
          <w:ilvl w:val="0"/>
          <w:numId w:val="2"/>
        </w:numPr>
        <w:spacing w:after="60" w:line="300"/>
      </w:pPr>
      <w:r>
        <w:rPr>
          <w:rFonts w:ascii="Calibri" w:cs="Calibri" w:eastAsia="Calibri" w:hAnsi="Calibri"/>
          <w:b/>
          <w:bCs/>
          <w:sz w:val="22"/>
          <w:szCs w:val="22"/>
        </w:rPr>
        <w:t xml:space="preserve">Approved tool. </w:t>
      </w:r>
      <w:r>
        <w:rPr>
          <w:rFonts w:ascii="Calibri" w:cs="Calibri" w:eastAsia="Calibri" w:hAnsi="Calibri"/>
          <w:sz w:val="22"/>
          <w:szCs w:val="22"/>
        </w:rPr>
        <w:t xml:space="preserve">A productivity, collaboration, or storage tool reviewed and authorized by the Office of the CIO and Information Security for use with Cedar Mutual information.</w:t>
      </w:r>
    </w:p>
    <w:p>
      <w:pPr>
        <w:pStyle w:val="ListParagraph"/>
        <w:numPr>
          <w:ilvl w:val="0"/>
          <w:numId w:val="2"/>
        </w:numPr>
        <w:spacing w:after="60" w:line="300"/>
      </w:pPr>
      <w:r>
        <w:rPr>
          <w:rFonts w:ascii="Calibri" w:cs="Calibri" w:eastAsia="Calibri" w:hAnsi="Calibri"/>
          <w:b/>
          <w:bCs/>
          <w:sz w:val="22"/>
          <w:szCs w:val="22"/>
        </w:rPr>
        <w:t xml:space="preserve">Business file. </w:t>
      </w:r>
      <w:r>
        <w:rPr>
          <w:rFonts w:ascii="Calibri" w:cs="Calibri" w:eastAsia="Calibri" w:hAnsi="Calibri"/>
          <w:sz w:val="22"/>
          <w:szCs w:val="22"/>
        </w:rPr>
        <w:t xml:space="preserve">Any document, dataset, or media artifact created by an employee or contractor in the course of Cedar Mutual business.</w:t>
      </w:r>
    </w:p>
    <w:p>
      <w:pPr>
        <w:pStyle w:val="ListParagraph"/>
        <w:numPr>
          <w:ilvl w:val="0"/>
          <w:numId w:val="2"/>
        </w:numPr>
        <w:spacing w:after="60" w:line="300"/>
      </w:pPr>
      <w:r>
        <w:rPr>
          <w:rFonts w:ascii="Calibri" w:cs="Calibri" w:eastAsia="Calibri" w:hAnsi="Calibri"/>
          <w:b/>
          <w:bCs/>
          <w:sz w:val="22"/>
          <w:szCs w:val="22"/>
        </w:rPr>
        <w:t xml:space="preserve">External collaboration. </w:t>
      </w:r>
      <w:r>
        <w:rPr>
          <w:rFonts w:ascii="Calibri" w:cs="Calibri" w:eastAsia="Calibri" w:hAnsi="Calibri"/>
          <w:sz w:val="22"/>
          <w:szCs w:val="22"/>
        </w:rPr>
        <w:t xml:space="preserve">File exchange or co-authoring with a party outside the cedarmutual.com domain who is not a Cedar Mutual employee or contractor.</w:t>
      </w:r>
    </w:p>
    <w:p>
      <w:pPr>
        <w:pStyle w:val="ListParagraph"/>
        <w:numPr>
          <w:ilvl w:val="0"/>
          <w:numId w:val="2"/>
        </w:numPr>
        <w:spacing w:after="60" w:line="300"/>
      </w:pPr>
      <w:r>
        <w:rPr>
          <w:rFonts w:ascii="Calibri" w:cs="Calibri" w:eastAsia="Calibri" w:hAnsi="Calibri"/>
          <w:b/>
          <w:bCs/>
          <w:sz w:val="22"/>
          <w:szCs w:val="22"/>
        </w:rPr>
        <w:t xml:space="preserve">Tenant. </w:t>
      </w:r>
      <w:r>
        <w:rPr>
          <w:rFonts w:ascii="Calibri" w:cs="Calibri" w:eastAsia="Calibri" w:hAnsi="Calibri"/>
          <w:sz w:val="22"/>
          <w:szCs w:val="22"/>
        </w:rPr>
        <w:t xml:space="preserve">A dedicated, Cedar Mutual-administered instance of a software service (for example, Microsoft 365 tenant cedarmutual.onmicrosoft.com, or Dropbox Business team Cedar Mutual).</w:t>
      </w:r>
    </w:p>
    <w:p>
      <w:pPr>
        <w:pStyle w:val="Heading1"/>
        <w:spacing w:after="160" w:before="320"/>
      </w:pPr>
      <w:r>
        <w:rPr>
          <w:rFonts w:ascii="Calibri" w:cs="Calibri" w:eastAsia="Calibri" w:hAnsi="Calibri"/>
          <w:b/>
          <w:bCs/>
          <w:color w:val="1F3864"/>
          <w:sz w:val="28"/>
          <w:szCs w:val="28"/>
        </w:rPr>
        <w:t xml:space="preserve">10. Related policies and references</w:t>
      </w:r>
    </w:p>
    <w:p>
      <w:pPr>
        <w:pStyle w:val="ListParagraph"/>
        <w:numPr>
          <w:ilvl w:val="0"/>
          <w:numId w:val="2"/>
        </w:numPr>
        <w:spacing w:after="60" w:line="300"/>
      </w:pPr>
      <w:r>
        <w:rPr>
          <w:rFonts w:ascii="Calibri" w:cs="Calibri" w:eastAsia="Calibri" w:hAnsi="Calibri"/>
          <w:sz w:val="22"/>
          <w:szCs w:val="22"/>
        </w:rPr>
        <w:t xml:space="preserve">POL-IT-014  Data Classification Policy</w:t>
      </w:r>
    </w:p>
    <w:p>
      <w:pPr>
        <w:pStyle w:val="ListParagraph"/>
        <w:numPr>
          <w:ilvl w:val="0"/>
          <w:numId w:val="2"/>
        </w:numPr>
        <w:spacing w:after="60" w:line="300"/>
      </w:pPr>
      <w:r>
        <w:rPr>
          <w:rFonts w:ascii="Calibri" w:cs="Calibri" w:eastAsia="Calibri" w:hAnsi="Calibri"/>
          <w:sz w:val="22"/>
          <w:szCs w:val="22"/>
        </w:rPr>
        <w:t xml:space="preserve">POL-IT-026  AI Acceptable Use Policy</w:t>
      </w:r>
    </w:p>
    <w:p>
      <w:pPr>
        <w:pStyle w:val="ListParagraph"/>
        <w:numPr>
          <w:ilvl w:val="0"/>
          <w:numId w:val="2"/>
        </w:numPr>
        <w:spacing w:after="60" w:line="300"/>
      </w:pPr>
      <w:r>
        <w:rPr>
          <w:rFonts w:ascii="Calibri" w:cs="Calibri" w:eastAsia="Calibri" w:hAnsi="Calibri"/>
          <w:sz w:val="22"/>
          <w:szCs w:val="22"/>
        </w:rPr>
        <w:t xml:space="preserve">POL-IT-009  Information Security Policy</w:t>
      </w:r>
    </w:p>
    <w:p>
      <w:pPr>
        <w:pStyle w:val="ListParagraph"/>
        <w:numPr>
          <w:ilvl w:val="0"/>
          <w:numId w:val="2"/>
        </w:numPr>
        <w:spacing w:after="60" w:line="300"/>
      </w:pPr>
      <w:r>
        <w:rPr>
          <w:rFonts w:ascii="Calibri" w:cs="Calibri" w:eastAsia="Calibri" w:hAnsi="Calibri"/>
          <w:sz w:val="22"/>
          <w:szCs w:val="22"/>
        </w:rPr>
        <w:t xml:space="preserve">POL-IT-019  Vendor Access Policy</w:t>
      </w:r>
    </w:p>
    <w:p>
      <w:pPr>
        <w:pStyle w:val="ListParagraph"/>
        <w:numPr>
          <w:ilvl w:val="0"/>
          <w:numId w:val="2"/>
        </w:numPr>
        <w:spacing w:after="60" w:line="300"/>
      </w:pPr>
      <w:r>
        <w:rPr>
          <w:rFonts w:ascii="Calibri" w:cs="Calibri" w:eastAsia="Calibri" w:hAnsi="Calibri"/>
          <w:sz w:val="22"/>
          <w:szCs w:val="22"/>
        </w:rPr>
        <w:t xml:space="preserve">POL-LEG-003 Code of Conduct</w:t>
      </w:r>
    </w:p>
    <w:p>
      <w:pPr>
        <w:pStyle w:val="ListParagraph"/>
        <w:numPr>
          <w:ilvl w:val="0"/>
          <w:numId w:val="2"/>
        </w:numPr>
        <w:spacing w:after="60" w:line="300"/>
      </w:pPr>
      <w:r>
        <w:rPr>
          <w:rFonts w:ascii="Calibri" w:cs="Calibri" w:eastAsia="Calibri" w:hAnsi="Calibri"/>
          <w:sz w:val="22"/>
          <w:szCs w:val="22"/>
        </w:rPr>
        <w:t xml:space="preserve">NAIC Insurance Data Security Model Law (Model 668)</w:t>
      </w:r>
    </w:p>
    <w:p>
      <w:pPr>
        <w:pStyle w:val="Heading1"/>
        <w:spacing w:after="160" w:before="320"/>
      </w:pPr>
      <w:r>
        <w:rPr>
          <w:rFonts w:ascii="Calibri" w:cs="Calibri" w:eastAsia="Calibri" w:hAnsi="Calibri"/>
          <w:b/>
          <w:bCs/>
          <w:color w:val="1F3864"/>
          <w:sz w:val="28"/>
          <w:szCs w:val="28"/>
        </w:rPr>
        <w:t xml:space="preserve">11. Revision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4080"/>
      </w:tblGrid>
      <w:tr>
        <w:trPr>
          <w:tblHeader/>
        </w:trPr>
        <w:tc>
          <w:tcPr>
            <w:tcW w:type="dxa" w:w="1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Effective date</w:t>
            </w:r>
          </w:p>
        </w:tc>
        <w:tc>
          <w:tcPr>
            <w:tcW w:type="dxa" w:w="2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Author</w:t>
            </w:r>
          </w:p>
        </w:tc>
        <w:tc>
          <w:tcPr>
            <w:tcW w:type="dxa" w:w="408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Summary of changes</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1.0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15 March 2022</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Office of the CIO</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Initial version. Established baseline approved tools.</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2.0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4 July 2023</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Office of the CIO</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Added Microsoft 365 as Company standard. Sunset of legacy Lotus Notes.</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2.1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12 February 2024</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Information Security</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Clarified BYOD scope. Added Zoom for client-facing video.</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3.0</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1 September 2024</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Office of the CIO</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Added Dropbox Business and Box as approved external-collaboration cloud storage.</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3.1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4 March 2025</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Information Security</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Added AI Acceptable Use cross-reference (POL-IT-026).</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3.2</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1 January 2026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Office of the CIO</w:t>
            </w:r>
          </w:p>
        </w:tc>
        <w:tc>
          <w:tcPr>
            <w:tcW w:type="dxa" w:w="40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pPr>
            <w:r>
              <w:rPr>
                <w:rFonts w:ascii="Calibri" w:cs="Calibri" w:eastAsia="Calibri" w:hAnsi="Calibri"/>
                <w:sz w:val="20"/>
                <w:szCs w:val="20"/>
              </w:rPr>
              <w:t xml:space="preserve">Annual review. Confirmed approved cloud storage list. No material changes.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Internal  ·  Effective 1 January 2026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Cedar Mutual Insurance  ·  Acceptable Use Policy  ·  POL-IT-001  ·  v3.2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2026-05-17T16:37:48.902Z</dcterms:created>
  <dcterms:modified xsi:type="dcterms:W3CDTF">2026-05-17T16:37:48.903Z</dcterms:modified>
</cp:coreProperties>
</file>

<file path=docProps/custom.xml><?xml version="1.0" encoding="utf-8"?>
<Properties xmlns="http://schemas.openxmlformats.org/officeDocument/2006/custom-properties" xmlns:vt="http://schemas.openxmlformats.org/officeDocument/2006/docPropsVTypes"/>
</file>